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C2349B" w:rsidRPr="004947E7" w:rsidTr="00D36BD6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C2349B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C2349B" w:rsidRPr="004947E7" w:rsidRDefault="00C2349B" w:rsidP="00D36BD6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center"/>
            </w:pPr>
          </w:p>
          <w:p w:rsidR="00C2349B" w:rsidRPr="004947E7" w:rsidRDefault="00C2349B" w:rsidP="00D36BD6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349B" w:rsidRDefault="00C2349B" w:rsidP="00C2349B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6D4E79" w:rsidRDefault="006D4E79" w:rsidP="00C2349B">
      <w:pPr>
        <w:jc w:val="center"/>
        <w:rPr>
          <w:b/>
        </w:rPr>
      </w:pPr>
    </w:p>
    <w:p w:rsidR="006D4E79" w:rsidRDefault="006D4E79" w:rsidP="006D4E79">
      <w:pPr>
        <w:jc w:val="center"/>
        <w:rPr>
          <w:b/>
        </w:rPr>
      </w:pPr>
    </w:p>
    <w:p w:rsidR="00C2349B" w:rsidRDefault="00C2349B" w:rsidP="006D4E79">
      <w:pPr>
        <w:jc w:val="center"/>
        <w:rPr>
          <w:b/>
        </w:rPr>
      </w:pPr>
      <w:r w:rsidRPr="00F41EF5">
        <w:rPr>
          <w:b/>
        </w:rPr>
        <w:t>RAPORT DE SPECIALITATE</w:t>
      </w:r>
    </w:p>
    <w:p w:rsidR="00DE2439" w:rsidRPr="00F41EF5" w:rsidRDefault="00C2349B" w:rsidP="00DE2439">
      <w:pPr>
        <w:jc w:val="center"/>
        <w:rPr>
          <w:b/>
        </w:rPr>
      </w:pPr>
      <w:r>
        <w:rPr>
          <w:b/>
        </w:rPr>
        <w:t xml:space="preserve">privind declanşarea </w:t>
      </w:r>
      <w:r w:rsidR="00DE2439">
        <w:rPr>
          <w:b/>
          <w:bCs/>
          <w:color w:val="000000"/>
        </w:rPr>
        <w:t xml:space="preserve">privind </w:t>
      </w:r>
      <w:r w:rsidR="00DE2439">
        <w:rPr>
          <w:b/>
        </w:rPr>
        <w:t>declanşarea procedurii de selecţie pentru ocuparea posturilor vacante din cadrul Consiliului de Administraţie al Companiei Locale</w:t>
      </w:r>
      <w:r w:rsidR="00DE2439" w:rsidRPr="006D4E79">
        <w:rPr>
          <w:b/>
        </w:rPr>
        <w:t xml:space="preserve"> de Termoficare Colterm S.A</w:t>
      </w:r>
      <w:r w:rsidR="00DE2439">
        <w:rPr>
          <w:b/>
        </w:rPr>
        <w:t xml:space="preserve"> Timişoara</w:t>
      </w:r>
    </w:p>
    <w:p w:rsidR="00C2349B" w:rsidRPr="00F41EF5" w:rsidRDefault="00C2349B" w:rsidP="006D4E79">
      <w:pPr>
        <w:jc w:val="center"/>
        <w:rPr>
          <w:b/>
        </w:rPr>
      </w:pPr>
    </w:p>
    <w:p w:rsidR="00C2349B" w:rsidRPr="00C2349B" w:rsidRDefault="00C2349B" w:rsidP="006D4E79">
      <w:pPr>
        <w:ind w:firstLine="720"/>
        <w:jc w:val="both"/>
      </w:pPr>
      <w:r w:rsidRPr="00C2349B">
        <w:t xml:space="preserve">Având în vedere Expunerea de motive nr. ................................... a Primarului Municipiului Timişoara şi Proiectul de hotărâre privind declanşarea procedurii de selecţie pentru ocuparea posturilor vacante din cadrul Consiliului de Administraţie al </w:t>
      </w:r>
      <w:r w:rsidR="006D4E79" w:rsidRPr="00C2349B">
        <w:rPr>
          <w:rFonts w:eastAsiaTheme="minorHAnsi"/>
          <w:bCs/>
          <w:color w:val="000000"/>
          <w:lang w:val="en-US" w:eastAsia="en-US"/>
        </w:rPr>
        <w:t xml:space="preserve">.C. </w:t>
      </w:r>
      <w:proofErr w:type="spellStart"/>
      <w:r w:rsidR="006D4E79" w:rsidRPr="00C2349B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="006D4E79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D4E79" w:rsidRPr="00C2349B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="006D4E79"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D4E79" w:rsidRPr="00C2349B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6D4E79" w:rsidRPr="00C2349B">
        <w:rPr>
          <w:rFonts w:eastAsiaTheme="minorHAnsi"/>
          <w:bCs/>
          <w:color w:val="000000"/>
          <w:lang w:val="en-US" w:eastAsia="en-US"/>
        </w:rPr>
        <w:t xml:space="preserve"> COLTERM S.A. </w:t>
      </w:r>
      <w:proofErr w:type="spellStart"/>
      <w:r w:rsidR="006D4E79"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t>;</w:t>
      </w:r>
    </w:p>
    <w:p w:rsidR="00C2349B" w:rsidRPr="00C2349B" w:rsidRDefault="00C2349B" w:rsidP="006D4E79">
      <w:pPr>
        <w:ind w:firstLine="720"/>
        <w:jc w:val="both"/>
      </w:pPr>
      <w:r w:rsidRPr="00C2349B">
        <w:t xml:space="preserve">Având în vedere Adresa </w:t>
      </w:r>
      <w:r w:rsidR="00DD4B30">
        <w:t>Companiei Locale</w:t>
      </w:r>
      <w:r>
        <w:t xml:space="preserve"> de Termoficare Colterm</w:t>
      </w:r>
      <w:r w:rsidRPr="00C2349B">
        <w:t xml:space="preserve"> S.A.</w:t>
      </w:r>
      <w:r w:rsidR="00DD4B30">
        <w:t xml:space="preserve"> Timişoara, înregistrată cu</w:t>
      </w:r>
      <w:r w:rsidRPr="00C2349B">
        <w:t xml:space="preserve"> nr. SC2018-</w:t>
      </w:r>
      <w:r w:rsidR="00DD4B30">
        <w:t>001850/26.01.2018</w:t>
      </w:r>
      <w:r>
        <w:t xml:space="preserve"> </w:t>
      </w:r>
      <w:r w:rsidR="00DD4B30">
        <w:t>privind cifra de afaceri a societăţii şi numărul de angajaţi pe anul 2017</w:t>
      </w:r>
      <w:r w:rsidRPr="00C2349B">
        <w:t>;</w:t>
      </w:r>
    </w:p>
    <w:p w:rsidR="00C2349B" w:rsidRPr="00C2349B" w:rsidRDefault="00C2349B" w:rsidP="006D4E79">
      <w:pPr>
        <w:ind w:firstLine="720"/>
        <w:jc w:val="both"/>
      </w:pPr>
      <w:r w:rsidRPr="00C2349B">
        <w:t xml:space="preserve">Având în vedere Hotărârea Adunării Generale a Acţionarilor </w:t>
      </w:r>
      <w:r w:rsidR="00DD4B30">
        <w:t xml:space="preserve">la Compania Locală de Termoficare Colterm S.A. </w:t>
      </w:r>
      <w:r w:rsidRPr="00C2349B">
        <w:t xml:space="preserve">nr. </w:t>
      </w:r>
      <w:r>
        <w:t>9</w:t>
      </w:r>
      <w:r w:rsidRPr="00C2349B">
        <w:t>/21.12.2017;</w:t>
      </w:r>
    </w:p>
    <w:p w:rsidR="00C2349B" w:rsidRDefault="00C2349B" w:rsidP="006D4E79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t xml:space="preserve">Având în vedere </w:t>
      </w:r>
      <w:r w:rsidRPr="00C2349B">
        <w:t xml:space="preserve">Hotărârea Consiliului Local al Municipiului Timişoara nr. </w:t>
      </w:r>
      <w:r w:rsidRPr="00C2349B">
        <w:rPr>
          <w:rFonts w:eastAsiaTheme="minorHAnsi"/>
          <w:bCs/>
          <w:color w:val="000000"/>
          <w:lang w:val="en-US" w:eastAsia="en-US"/>
        </w:rPr>
        <w:t>212</w:t>
      </w:r>
      <w:r>
        <w:rPr>
          <w:rFonts w:eastAsiaTheme="minorHAnsi"/>
          <w:bCs/>
          <w:color w:val="000000"/>
          <w:lang w:val="en-US" w:eastAsia="en-US"/>
        </w:rPr>
        <w:t>/</w:t>
      </w:r>
      <w:r w:rsidRPr="00C2349B">
        <w:rPr>
          <w:rFonts w:eastAsiaTheme="minorHAnsi"/>
          <w:bCs/>
          <w:color w:val="000000"/>
          <w:lang w:val="en-US" w:eastAsia="en-US"/>
        </w:rPr>
        <w:t>30.05.2017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Scrisorii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Aşteptari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COLTERM S.A.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>;</w:t>
      </w:r>
    </w:p>
    <w:p w:rsidR="00C2349B" w:rsidRPr="00C2349B" w:rsidRDefault="00C2349B" w:rsidP="006D4E79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C2349B">
        <w:t xml:space="preserve">Având în vedere Hotărârea Consiliului Local al Municipiului Timişoara nr. 99/20.09.2016 </w:t>
      </w:r>
      <w:proofErr w:type="spellStart"/>
      <w:r w:rsidRPr="00C2349B">
        <w:rPr>
          <w:rFonts w:eastAsiaTheme="minorHAnsi"/>
          <w:bCs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 </w:t>
      </w:r>
      <w:proofErr w:type="spellStart"/>
      <w:r w:rsidR="00DD4B30">
        <w:rPr>
          <w:rFonts w:eastAsiaTheme="minorHAnsi"/>
          <w:bCs/>
          <w:lang w:val="en-US" w:eastAsia="en-US"/>
        </w:rPr>
        <w:t>guvernanţa</w:t>
      </w:r>
      <w:proofErr w:type="spellEnd"/>
      <w:r w:rsidR="00DD4B30">
        <w:rPr>
          <w:rFonts w:eastAsiaTheme="minorHAnsi"/>
          <w:bCs/>
          <w:lang w:val="en-US" w:eastAsia="en-US"/>
        </w:rPr>
        <w:t xml:space="preserve"> </w:t>
      </w:r>
      <w:proofErr w:type="spellStart"/>
      <w:r w:rsidR="00DD4B30">
        <w:rPr>
          <w:rFonts w:eastAsiaTheme="minorHAnsi"/>
          <w:bCs/>
          <w:lang w:val="en-US" w:eastAsia="en-US"/>
        </w:rPr>
        <w:t>corporativă</w:t>
      </w:r>
      <w:proofErr w:type="spellEnd"/>
      <w:r w:rsidR="00DD4B30">
        <w:rPr>
          <w:rFonts w:eastAsiaTheme="minorHAnsi"/>
          <w:bCs/>
          <w:lang w:val="en-US" w:eastAsia="en-US"/>
        </w:rPr>
        <w:t xml:space="preserve"> a </w:t>
      </w:r>
      <w:proofErr w:type="spellStart"/>
      <w:r w:rsidR="00DD4B30">
        <w:rPr>
          <w:rFonts w:eastAsiaTheme="minorHAnsi"/>
          <w:bCs/>
          <w:lang w:val="en-US" w:eastAsia="en-US"/>
        </w:rPr>
        <w:t>societă</w:t>
      </w:r>
      <w:r w:rsidRPr="00C2349B">
        <w:rPr>
          <w:rFonts w:eastAsiaTheme="minorHAnsi"/>
          <w:bCs/>
          <w:lang w:val="en-US" w:eastAsia="en-US"/>
        </w:rPr>
        <w:t>ţilor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comerciale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acţionar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unic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lang w:val="en-US" w:eastAsia="en-US"/>
        </w:rPr>
        <w:t>majoritar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sau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lang w:val="en-US" w:eastAsia="en-US"/>
        </w:rPr>
        <w:t>deţine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controlul</w:t>
      </w:r>
      <w:proofErr w:type="spellEnd"/>
      <w:r w:rsidRPr="00C2349B">
        <w:rPr>
          <w:rFonts w:eastAsiaTheme="minorHAnsi"/>
          <w:bCs/>
          <w:lang w:val="en-US" w:eastAsia="en-US"/>
        </w:rPr>
        <w:t>;</w:t>
      </w:r>
    </w:p>
    <w:p w:rsidR="00C2349B" w:rsidRPr="00C2349B" w:rsidRDefault="00C2349B" w:rsidP="006D4E79">
      <w:pPr>
        <w:ind w:firstLine="720"/>
        <w:jc w:val="both"/>
      </w:pPr>
      <w:proofErr w:type="spellStart"/>
      <w:proofErr w:type="gramStart"/>
      <w:r w:rsidRPr="00C2349B">
        <w:rPr>
          <w:rFonts w:eastAsiaTheme="minorHAnsi"/>
          <w:bCs/>
          <w:lang w:val="en-US" w:eastAsia="en-US"/>
        </w:rPr>
        <w:t>Având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în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vedere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Hotărârea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r w:rsidRPr="00C2349B">
        <w:t>Consiliului Local al Municipiului Timişoara nr.</w:t>
      </w:r>
      <w:proofErr w:type="gramEnd"/>
      <w:r w:rsidRPr="00C2349B">
        <w:t xml:space="preserve"> 308/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28.07.2017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constituirea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evaluării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/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calitatea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;</w:t>
      </w:r>
    </w:p>
    <w:p w:rsidR="00C2349B" w:rsidRPr="00DE2ED6" w:rsidRDefault="00C2349B" w:rsidP="006D4E79">
      <w:pPr>
        <w:ind w:firstLine="720"/>
        <w:jc w:val="both"/>
      </w:pPr>
      <w:r w:rsidRPr="00DE2ED6">
        <w:t>Facem următoarele precizări:</w:t>
      </w:r>
    </w:p>
    <w:p w:rsid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art. 3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722/2016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ordonanţa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109/2011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: “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la data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sens.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”</w:t>
      </w:r>
    </w:p>
    <w:p w:rsidR="00DD4B30" w:rsidRDefault="00DD4B30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temeiul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64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4 din O.U.G. nr.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unuia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multor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postur</w:t>
      </w:r>
      <w:r w:rsidR="00523889">
        <w:rPr>
          <w:rFonts w:eastAsiaTheme="minorHAnsi"/>
          <w:bCs/>
          <w:color w:val="000000"/>
          <w:lang w:val="en-US" w:eastAsia="en-US"/>
        </w:rPr>
        <w:t>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</w:t>
      </w:r>
      <w:r w:rsidR="00523889">
        <w:rPr>
          <w:rFonts w:eastAsiaTheme="minorHAnsi"/>
          <w:bCs/>
          <w:color w:val="000000"/>
          <w:lang w:val="en-US" w:eastAsia="en-US"/>
        </w:rPr>
        <w:t>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declanşează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grija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termen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45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zile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vacantare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833158" w:rsidRPr="00833158" w:rsidRDefault="00833158" w:rsidP="00833158">
      <w:pPr>
        <w:ind w:firstLine="720"/>
        <w:jc w:val="both"/>
      </w:pPr>
      <w:r>
        <w:t xml:space="preserve">Potrivit dispoziţiilor </w:t>
      </w:r>
      <w:r w:rsidRPr="00CA639A">
        <w:t>prevă</w:t>
      </w:r>
      <w:r>
        <w:t>z</w:t>
      </w:r>
      <w:r w:rsidRPr="00CA639A">
        <w:t>ute în</w:t>
      </w:r>
      <w:r w:rsidRPr="006D4E79">
        <w:t xml:space="preserve"> </w:t>
      </w:r>
      <w:r>
        <w:t>art. 1</w:t>
      </w:r>
      <w:r w:rsidRPr="00CA639A">
        <w:t xml:space="preserve">  </w:t>
      </w:r>
      <w:r>
        <w:t xml:space="preserve">la </w:t>
      </w:r>
      <w:r w:rsidRPr="00CA639A">
        <w:t>Anexa 1c</w:t>
      </w:r>
      <w:r>
        <w:t xml:space="preserve"> din </w:t>
      </w:r>
      <w:r w:rsidRPr="00CA639A">
        <w:t>Hotărârea de Guvern nr. 722 din 2016</w:t>
      </w:r>
      <w:r>
        <w:t>, S</w:t>
      </w:r>
      <w:r w:rsidRPr="006D4E79">
        <w:t>crisoarea de aşteptări face parte din setul de documente obligatorii cu care începe procesul de selecţie a membri</w:t>
      </w:r>
      <w:r>
        <w:t>lor consiliului de administraţie.</w:t>
      </w:r>
    </w:p>
    <w:p w:rsid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conformitate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dispoziţiile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(3)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O.U.G. nr. 109/2011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numele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acţionarului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-stat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Pr="00C2349B">
        <w:rPr>
          <w:rFonts w:eastAsiaTheme="minorHAnsi"/>
          <w:bCs/>
          <w:color w:val="000000"/>
          <w:lang w:val="en-US" w:eastAsia="en-US"/>
        </w:rPr>
        <w:lastRenderedPageBreak/>
        <w:t xml:space="preserve">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sunt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prealabile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o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formată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specialişti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.</w:t>
      </w:r>
    </w:p>
    <w:p w:rsidR="00C2349B" w:rsidRPr="00C2349B" w:rsidRDefault="00C2349B" w:rsidP="006D4E79">
      <w:pPr>
        <w:ind w:firstLine="720"/>
        <w:jc w:val="both"/>
        <w:rPr>
          <w:rStyle w:val="salnbdy"/>
          <w:rFonts w:ascii="Times New Roman" w:hAnsi="Times New Roman"/>
          <w:noProof/>
          <w:sz w:val="24"/>
          <w:szCs w:val="24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dispoziţiile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(5)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O.U.G. nr. 109/2011</w:t>
      </w:r>
      <w:r w:rsidRPr="00C2349B">
        <w:rPr>
          <w:noProof/>
        </w:rPr>
        <w:t xml:space="preserve"> </w:t>
      </w:r>
      <w:r w:rsidRPr="00C2349B">
        <w:rPr>
          <w:noProof/>
          <w:lang w:val="en-US"/>
        </w:rPr>
        <w:t>“</w:t>
      </w:r>
      <w:r w:rsidRPr="00C2349B">
        <w:rPr>
          <w:rStyle w:val="salnbdy"/>
          <w:rFonts w:ascii="Times New Roman" w:hAnsi="Times New Roman"/>
          <w:noProof/>
          <w:sz w:val="24"/>
          <w:szCs w:val="24"/>
        </w:rPr>
        <w:t>Este obligatorie efectuarea selecţiei candidaţilor de către un expert independent, persoană fizică sau juridică specializată în recrutarea resurselor umane, în cazul întreprinderilor publice care îndeplinesc următoarele condiţii cumulative:</w:t>
      </w:r>
    </w:p>
    <w:p w:rsidR="00C2349B" w:rsidRPr="00C2349B" w:rsidRDefault="00C2349B" w:rsidP="006D4E79">
      <w:pPr>
        <w:jc w:val="both"/>
      </w:pPr>
      <w:r w:rsidRPr="00E324E8">
        <w:rPr>
          <w:rStyle w:val="slitttl1"/>
          <w:rFonts w:ascii="Times New Roman" w:hAnsi="Times New Roman"/>
          <w:b w:val="0"/>
          <w:noProof/>
          <w:color w:val="auto"/>
          <w:sz w:val="24"/>
          <w:szCs w:val="24"/>
        </w:rPr>
        <w:t>a)</w:t>
      </w:r>
      <w:r w:rsidRPr="00C2349B">
        <w:rPr>
          <w:noProof/>
          <w:shd w:val="clear" w:color="auto" w:fill="FFFFFF"/>
        </w:rPr>
        <w:t xml:space="preserve"> </w:t>
      </w:r>
      <w:r w:rsidRPr="00C2349B">
        <w:rPr>
          <w:rStyle w:val="slitbdy"/>
          <w:rFonts w:ascii="Times New Roman" w:hAnsi="Times New Roman"/>
          <w:noProof/>
          <w:sz w:val="24"/>
          <w:szCs w:val="24"/>
        </w:rPr>
        <w:t>au înregistrat o cifră de afaceri în ultimul exerciţiu financiar superioară echivalentului în lei a sumei de 7.300.000 euro;</w:t>
      </w:r>
    </w:p>
    <w:p w:rsidR="00C2349B" w:rsidRPr="00523889" w:rsidRDefault="00C2349B" w:rsidP="00523889">
      <w:pPr>
        <w:jc w:val="both"/>
        <w:rPr>
          <w:noProof/>
          <w:color w:val="000000"/>
          <w:shd w:val="clear" w:color="auto" w:fill="FFFFFF"/>
        </w:rPr>
      </w:pPr>
      <w:r w:rsidRPr="00E324E8">
        <w:rPr>
          <w:rStyle w:val="slitttl1"/>
          <w:rFonts w:ascii="Times New Roman" w:hAnsi="Times New Roman"/>
          <w:b w:val="0"/>
          <w:noProof/>
          <w:color w:val="auto"/>
          <w:sz w:val="24"/>
          <w:szCs w:val="24"/>
        </w:rPr>
        <w:t>b)</w:t>
      </w:r>
      <w:r w:rsidRPr="00C2349B">
        <w:rPr>
          <w:noProof/>
          <w:color w:val="000000"/>
          <w:shd w:val="clear" w:color="auto" w:fill="FFFFFF"/>
        </w:rPr>
        <w:t xml:space="preserve"> </w:t>
      </w:r>
      <w:r w:rsidRPr="00C2349B">
        <w:rPr>
          <w:rStyle w:val="slitbdy"/>
          <w:rFonts w:ascii="Times New Roman" w:hAnsi="Times New Roman"/>
          <w:noProof/>
          <w:sz w:val="24"/>
          <w:szCs w:val="24"/>
        </w:rPr>
        <w:t>au cel puţin 50 de angajaţi.”</w:t>
      </w:r>
    </w:p>
    <w:p w:rsidR="00C2349B" w:rsidRP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Adresa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 w:rsidR="006D4E79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="006D4E7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D4E79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="006D4E7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D4E79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6D4E7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D4E79">
        <w:rPr>
          <w:rFonts w:eastAsiaTheme="minorHAnsi"/>
          <w:bCs/>
          <w:color w:val="000000"/>
          <w:lang w:val="en-US" w:eastAsia="en-US"/>
        </w:rPr>
        <w:t>Colterm</w:t>
      </w:r>
      <w:proofErr w:type="spellEnd"/>
      <w:r w:rsidR="006D4E79">
        <w:rPr>
          <w:rFonts w:eastAsiaTheme="minorHAnsi"/>
          <w:bCs/>
          <w:color w:val="000000"/>
          <w:lang w:val="en-US" w:eastAsia="en-US"/>
        </w:rPr>
        <w:t xml:space="preserve"> S.A.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înregistrată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cu nr.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DD4B30">
        <w:rPr>
          <w:rFonts w:eastAsiaTheme="minorHAnsi"/>
          <w:bCs/>
          <w:color w:val="000000"/>
          <w:lang w:val="en-US" w:eastAsia="en-US"/>
        </w:rPr>
        <w:t xml:space="preserve">SC2018-001850/26.01.2018 </w:t>
      </w:r>
      <w:r w:rsidRPr="00C2349B">
        <w:rPr>
          <w:rFonts w:eastAsiaTheme="minorHAnsi"/>
          <w:bCs/>
          <w:color w:val="000000"/>
          <w:lang w:val="en-US" w:eastAsia="en-US"/>
        </w:rPr>
        <w:t xml:space="preserve">se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precizează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avut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anul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2017 o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cifră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afaceri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r w:rsidR="00DD4B30">
        <w:rPr>
          <w:rFonts w:eastAsiaTheme="minorHAnsi"/>
          <w:bCs/>
          <w:color w:val="000000"/>
          <w:lang w:val="en-US" w:eastAsia="en-US"/>
        </w:rPr>
        <w:t>157.837.003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un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număr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6D4E79">
        <w:rPr>
          <w:rFonts w:eastAsiaTheme="minorHAnsi"/>
          <w:bCs/>
          <w:color w:val="000000"/>
          <w:lang w:val="en-US" w:eastAsia="en-US"/>
        </w:rPr>
        <w:t xml:space="preserve">de </w:t>
      </w:r>
      <w:r w:rsidR="00DD4B30">
        <w:rPr>
          <w:rFonts w:eastAsiaTheme="minorHAnsi"/>
          <w:bCs/>
          <w:color w:val="000000"/>
          <w:lang w:val="en-US" w:eastAsia="en-US"/>
        </w:rPr>
        <w:t xml:space="preserve">825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salariaţi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. </w:t>
      </w:r>
    </w:p>
    <w:p w:rsidR="00C2349B" w:rsidRPr="00833158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cele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prezentate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mai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sus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propunem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>:</w:t>
      </w:r>
    </w:p>
    <w:p w:rsidR="00833158" w:rsidRDefault="00833158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833158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public</w:t>
      </w:r>
      <w:r>
        <w:rPr>
          <w:rFonts w:eastAsiaTheme="minorHAnsi"/>
          <w:bCs/>
          <w:color w:val="000000"/>
          <w:lang w:val="en-US" w:eastAsia="en-US"/>
        </w:rPr>
        <w:t>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ocuparea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posturilor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al S.C.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Colterm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S.A.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833158" w:rsidRPr="00833158" w:rsidRDefault="00833158" w:rsidP="00833158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Scrisoarea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Aşteptări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funcţia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</w:t>
      </w:r>
      <w:r w:rsidRPr="006D4E79">
        <w:rPr>
          <w:rFonts w:eastAsiaTheme="minorHAnsi"/>
          <w:bCs/>
          <w:color w:val="000000"/>
          <w:lang w:val="en-US" w:eastAsia="en-US"/>
        </w:rPr>
        <w:t xml:space="preserve">S.C. </w:t>
      </w:r>
      <w:proofErr w:type="spellStart"/>
      <w:r w:rsidRPr="006D4E79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Pr="006D4E7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D4E79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Pr="006D4E7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6D4E79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Pr="006D4E79">
        <w:rPr>
          <w:rFonts w:eastAsiaTheme="minorHAnsi"/>
          <w:bCs/>
          <w:color w:val="000000"/>
          <w:lang w:val="en-US" w:eastAsia="en-US"/>
        </w:rPr>
        <w:t xml:space="preserve"> COLTERM S.A. </w:t>
      </w:r>
      <w:proofErr w:type="spellStart"/>
      <w:r w:rsidRPr="006D4E79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Pr="00C2349B">
        <w:t>Hotărârea Consiliului Local al Municipiului Timişoara nr.</w:t>
      </w:r>
      <w:r>
        <w:t xml:space="preserve"> 212</w:t>
      </w:r>
      <w:r w:rsidRPr="00C2349B">
        <w:t>/30.05.2017.</w:t>
      </w:r>
    </w:p>
    <w:p w:rsidR="006D4E79" w:rsidRPr="00D568EF" w:rsidRDefault="00C2349B" w:rsidP="00833158">
      <w:pPr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DE2ED6">
        <w:rPr>
          <w:rFonts w:eastAsiaTheme="minorHAnsi"/>
          <w:bCs/>
          <w:color w:val="000000"/>
          <w:lang w:val="en-US" w:eastAsia="en-US"/>
        </w:rPr>
        <w:t xml:space="preserve"> </w:t>
      </w:r>
      <w:r w:rsidR="00833158">
        <w:rPr>
          <w:rFonts w:eastAsiaTheme="minorHAnsi"/>
          <w:bCs/>
          <w:color w:val="000000"/>
          <w:lang w:val="en-US" w:eastAsia="en-US"/>
        </w:rPr>
        <w:t>-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va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</w:t>
      </w:r>
      <w:proofErr w:type="spellEnd"/>
      <w:r w:rsidRPr="00C2349B">
        <w:rPr>
          <w:rFonts w:eastAsiaTheme="minorHAnsi"/>
          <w:bCs/>
          <w:color w:val="000000"/>
          <w:lang w:eastAsia="en-US"/>
        </w:rPr>
        <w:t>ţie la</w:t>
      </w:r>
      <w:r w:rsidR="00D568EF" w:rsidRPr="00D568EF">
        <w:rPr>
          <w:rFonts w:eastAsiaTheme="minorHAnsi"/>
          <w:bCs/>
          <w:color w:val="000000"/>
          <w:lang w:val="en-US" w:eastAsia="en-US"/>
        </w:rPr>
        <w:t xml:space="preserve"> </w:t>
      </w:r>
      <w:r w:rsidR="00D568EF" w:rsidRPr="006D4E79">
        <w:rPr>
          <w:rFonts w:eastAsiaTheme="minorHAnsi"/>
          <w:bCs/>
          <w:color w:val="000000"/>
          <w:lang w:val="en-US" w:eastAsia="en-US"/>
        </w:rPr>
        <w:t xml:space="preserve">S.C. </w:t>
      </w:r>
      <w:proofErr w:type="spellStart"/>
      <w:r w:rsidR="00D568EF" w:rsidRPr="006D4E79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="00D568EF" w:rsidRPr="006D4E7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568EF" w:rsidRPr="006D4E79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="00D568EF" w:rsidRPr="006D4E7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D568EF" w:rsidRPr="006D4E79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D568EF" w:rsidRPr="006D4E79">
        <w:rPr>
          <w:rFonts w:eastAsiaTheme="minorHAnsi"/>
          <w:bCs/>
          <w:color w:val="000000"/>
          <w:lang w:val="en-US" w:eastAsia="en-US"/>
        </w:rPr>
        <w:t xml:space="preserve"> COLTERM S.A. </w:t>
      </w:r>
      <w:proofErr w:type="spellStart"/>
      <w:r w:rsidR="00D568EF" w:rsidRPr="006D4E79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</w:t>
      </w:r>
      <w:r w:rsidR="00E324E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324E8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833158" w:rsidRPr="00C2349B">
        <w:rPr>
          <w:rFonts w:eastAsiaTheme="minorHAnsi"/>
          <w:bCs/>
          <w:color w:val="000000"/>
          <w:lang w:val="en-US" w:eastAsia="en-US"/>
        </w:rPr>
        <w:t>expert independent</w:t>
      </w:r>
      <w:r w:rsidR="00833158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persoană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fizică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juridică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specializată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,</w:t>
      </w:r>
      <w:r w:rsidR="00833158"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contractat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sens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, ş</w:t>
      </w:r>
      <w:r w:rsidR="00833158">
        <w:rPr>
          <w:rFonts w:eastAsiaTheme="minorHAnsi"/>
          <w:bCs/>
          <w:color w:val="000000"/>
          <w:lang w:eastAsia="en-US"/>
        </w:rPr>
        <w:t xml:space="preserve">i de către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E324E8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E324E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E324E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constituită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HCL.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308/2017</w:t>
      </w:r>
      <w:r w:rsid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C2349B" w:rsidRP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t>Anunţul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833158">
        <w:rPr>
          <w:rFonts w:eastAsiaTheme="minorHAnsi"/>
          <w:bCs/>
          <w:color w:val="000000"/>
          <w:lang w:val="en-US" w:eastAsia="en-US"/>
        </w:rPr>
        <w:t xml:space="preserve">se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public</w:t>
      </w:r>
      <w:r w:rsidR="00523889">
        <w:rPr>
          <w:rFonts w:eastAsiaTheme="minorHAnsi"/>
          <w:bCs/>
          <w:color w:val="000000"/>
          <w:lang w:val="en-US" w:eastAsia="en-US"/>
        </w:rPr>
        <w:t>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,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grija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Primarului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respectând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legale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C2349B" w:rsidRPr="00C2349B" w:rsidRDefault="00833158" w:rsidP="006D4E79">
      <w:pPr>
        <w:ind w:firstLine="720"/>
        <w:jc w:val="both"/>
      </w:pPr>
      <w:proofErr w:type="spellStart"/>
      <w:r>
        <w:rPr>
          <w:rFonts w:eastAsiaTheme="minorHAnsi"/>
          <w:bCs/>
          <w:color w:val="000000"/>
          <w:lang w:val="en-US" w:eastAsia="en-US"/>
        </w:rPr>
        <w:t>Sursa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finanţare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asigurată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bugetul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2018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Capitolul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51.02. “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</w:t>
      </w:r>
      <w:proofErr w:type="spellEnd"/>
      <w:r>
        <w:rPr>
          <w:rFonts w:eastAsiaTheme="minorHAnsi"/>
          <w:bCs/>
          <w:color w:val="000000"/>
          <w:lang w:eastAsia="en-US"/>
        </w:rPr>
        <w:t>ăţi executive</w:t>
      </w:r>
      <w:r>
        <w:rPr>
          <w:rFonts w:eastAsiaTheme="minorHAnsi"/>
          <w:bCs/>
          <w:color w:val="000000"/>
          <w:lang w:val="en-US" w:eastAsia="en-US"/>
        </w:rPr>
        <w:t>”.</w:t>
      </w:r>
    </w:p>
    <w:p w:rsidR="00C2349B" w:rsidRPr="00C2349B" w:rsidRDefault="00C2349B" w:rsidP="006D4E79">
      <w:pPr>
        <w:ind w:firstLine="720"/>
        <w:jc w:val="both"/>
      </w:pPr>
      <w:r w:rsidRPr="00C2349B">
        <w:t>Având în vedere prevederile legale expuse în prezentul raport, apreciem că Proiectul de hotărâre privind declanşarea procedurii de selecţie pentru ocuparea posturilor vacante din cadrul Consiliului de Administraţie al</w:t>
      </w:r>
      <w:r w:rsidR="006D4E79" w:rsidRPr="006D4E79"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 w:rsidR="006D4E79" w:rsidRPr="006D4E79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="006D4E79" w:rsidRPr="006D4E7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D4E79" w:rsidRPr="006D4E79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="006D4E79" w:rsidRPr="006D4E7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D4E79" w:rsidRPr="006D4E79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6D4E79" w:rsidRPr="006D4E79">
        <w:rPr>
          <w:rFonts w:eastAsiaTheme="minorHAnsi"/>
          <w:bCs/>
          <w:color w:val="000000"/>
          <w:lang w:val="en-US" w:eastAsia="en-US"/>
        </w:rPr>
        <w:t xml:space="preserve"> COLTERM S.A. </w:t>
      </w:r>
      <w:proofErr w:type="spellStart"/>
      <w:r w:rsidR="006D4E79" w:rsidRPr="006D4E79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t>, îndeplineşte condiţiile pentru a fi supus dezbaterii şi aprobării plenului Consiliului Local al Municipiului Timişoara</w:t>
      </w:r>
      <w:r w:rsidR="00523889">
        <w:t>.</w:t>
      </w:r>
    </w:p>
    <w:p w:rsidR="00C2349B" w:rsidRPr="00C2349B" w:rsidRDefault="00C2349B" w:rsidP="006D4E79">
      <w:pPr>
        <w:ind w:firstLine="720"/>
        <w:jc w:val="both"/>
      </w:pPr>
    </w:p>
    <w:p w:rsidR="00C2349B" w:rsidRPr="00C2349B" w:rsidRDefault="00C2349B" w:rsidP="00523889">
      <w:pPr>
        <w:jc w:val="both"/>
      </w:pPr>
    </w:p>
    <w:p w:rsidR="00C2349B" w:rsidRPr="00C2349B" w:rsidRDefault="00C2349B" w:rsidP="006D4E79">
      <w:pPr>
        <w:ind w:firstLine="720"/>
        <w:jc w:val="both"/>
      </w:pPr>
    </w:p>
    <w:p w:rsidR="00C2349B" w:rsidRPr="00C2349B" w:rsidRDefault="00C2349B" w:rsidP="006D4E79">
      <w:pPr>
        <w:ind w:firstLine="720"/>
        <w:jc w:val="center"/>
        <w:rPr>
          <w:b/>
        </w:rPr>
      </w:pPr>
      <w:r w:rsidRPr="00C2349B">
        <w:rPr>
          <w:b/>
        </w:rPr>
        <w:t>Consilier,</w:t>
      </w:r>
    </w:p>
    <w:p w:rsidR="00C2349B" w:rsidRPr="00C2349B" w:rsidRDefault="00C2349B" w:rsidP="006D4E79">
      <w:pPr>
        <w:ind w:firstLine="720"/>
        <w:jc w:val="center"/>
        <w:rPr>
          <w:b/>
        </w:rPr>
      </w:pPr>
      <w:r w:rsidRPr="00C2349B">
        <w:rPr>
          <w:b/>
        </w:rPr>
        <w:t>Lazăr Violeta</w:t>
      </w:r>
    </w:p>
    <w:p w:rsidR="007F3C04" w:rsidRPr="00C2349B" w:rsidRDefault="007F3C04" w:rsidP="006D4E79"/>
    <w:sectPr w:rsidR="007F3C04" w:rsidRPr="00C2349B" w:rsidSect="007F3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0F" w:rsidRDefault="0077080F" w:rsidP="00623226">
      <w:r>
        <w:separator/>
      </w:r>
    </w:p>
  </w:endnote>
  <w:endnote w:type="continuationSeparator" w:id="0">
    <w:p w:rsidR="0077080F" w:rsidRDefault="0077080F" w:rsidP="0062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 w:rsidP="00623226">
    <w:pPr>
      <w:pStyle w:val="Footer"/>
      <w:jc w:val="right"/>
    </w:pPr>
    <w:r>
      <w:t>Cod FO53-01, ver. 1</w:t>
    </w:r>
  </w:p>
  <w:p w:rsidR="00623226" w:rsidRDefault="006232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0F" w:rsidRDefault="0077080F" w:rsidP="00623226">
      <w:r>
        <w:separator/>
      </w:r>
    </w:p>
  </w:footnote>
  <w:footnote w:type="continuationSeparator" w:id="0">
    <w:p w:rsidR="0077080F" w:rsidRDefault="0077080F" w:rsidP="00623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9B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43E9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03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0D85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3CD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3889"/>
    <w:rsid w:val="005249A3"/>
    <w:rsid w:val="005256D6"/>
    <w:rsid w:val="00530A6B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3C8D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A16"/>
    <w:rsid w:val="006222B7"/>
    <w:rsid w:val="00622360"/>
    <w:rsid w:val="00623226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45E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4E79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080F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158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535A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59FD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349B"/>
    <w:rsid w:val="00C24510"/>
    <w:rsid w:val="00C259F4"/>
    <w:rsid w:val="00C263B3"/>
    <w:rsid w:val="00C30EE0"/>
    <w:rsid w:val="00C311DE"/>
    <w:rsid w:val="00C324FC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2F6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19A0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568E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4B30"/>
    <w:rsid w:val="00DD6A00"/>
    <w:rsid w:val="00DD7988"/>
    <w:rsid w:val="00DE2439"/>
    <w:rsid w:val="00DE26D8"/>
    <w:rsid w:val="00DE2ED6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24E8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4957"/>
    <w:rsid w:val="00EB5EFD"/>
    <w:rsid w:val="00EB5F5E"/>
    <w:rsid w:val="00EB7EFA"/>
    <w:rsid w:val="00EC183C"/>
    <w:rsid w:val="00EC489E"/>
    <w:rsid w:val="00EC73C5"/>
    <w:rsid w:val="00EC771D"/>
    <w:rsid w:val="00ED0A07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C23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9B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salnbdy">
    <w:name w:val="s_aln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C2349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9</cp:revision>
  <cp:lastPrinted>2018-01-26T14:16:00Z</cp:lastPrinted>
  <dcterms:created xsi:type="dcterms:W3CDTF">2018-01-17T11:49:00Z</dcterms:created>
  <dcterms:modified xsi:type="dcterms:W3CDTF">2018-01-26T14:27:00Z</dcterms:modified>
</cp:coreProperties>
</file>