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8476B0">
        <w:rPr>
          <w:rFonts w:ascii="Times New Roman" w:hAnsi="Times New Roman" w:cs="Times New Roman"/>
          <w:b/>
          <w:sz w:val="24"/>
          <w:szCs w:val="24"/>
        </w:rPr>
        <w:t>ÂNIA</w:t>
      </w:r>
    </w:p>
    <w:p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A80CB1" w:rsidRPr="008476B0" w:rsidRDefault="00A80CB1" w:rsidP="00851C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A80CB1" w:rsidRPr="008476B0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 de selecţie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de administraţie</w:t>
      </w:r>
    </w:p>
    <w:p w:rsidR="00A80CB1" w:rsidRPr="008476B0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 întreprinderilor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 la care Consiliul Local al Municipiului</w:t>
      </w:r>
    </w:p>
    <w:p w:rsidR="00A80CB1" w:rsidRPr="008476B0" w:rsidRDefault="00A80CB1" w:rsidP="00851C8F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public</w:t>
      </w:r>
      <w:r w:rsidR="00943EE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ă </w:t>
      </w:r>
      <w:r w:rsidRPr="008476B0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</w:p>
    <w:p w:rsidR="00F438D1" w:rsidRPr="00266F37" w:rsidRDefault="00F438D1" w:rsidP="00F438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SC2022</w:t>
      </w:r>
      <w:r w:rsidRPr="00266F37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31197/13.12.2022</w:t>
      </w:r>
    </w:p>
    <w:p w:rsidR="00900F84" w:rsidRPr="008476B0" w:rsidRDefault="00A80CB1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7C38FE" w:rsidRPr="008476B0">
        <w:rPr>
          <w:rFonts w:ascii="Times New Roman" w:hAnsi="Times New Roman" w:cs="Times New Roman"/>
          <w:b/>
          <w:sz w:val="24"/>
          <w:szCs w:val="24"/>
        </w:rPr>
        <w:t>FINAL</w:t>
      </w:r>
    </w:p>
    <w:p w:rsidR="00542B43" w:rsidRDefault="00542B43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pentru ocuparea postu</w:t>
      </w:r>
      <w:r w:rsidR="00A25CBC">
        <w:rPr>
          <w:rFonts w:ascii="Times New Roman" w:hAnsi="Times New Roman" w:cs="Times New Roman"/>
          <w:b/>
          <w:sz w:val="24"/>
          <w:szCs w:val="24"/>
        </w:rPr>
        <w:t>lui vacant</w:t>
      </w:r>
      <w:r>
        <w:rPr>
          <w:rFonts w:ascii="Times New Roman" w:hAnsi="Times New Roman" w:cs="Times New Roman"/>
          <w:b/>
          <w:sz w:val="24"/>
          <w:szCs w:val="24"/>
        </w:rPr>
        <w:t xml:space="preserve"> din cadrul</w:t>
      </w:r>
      <w:r w:rsidR="00A826C1" w:rsidRPr="008476B0"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>
        <w:rPr>
          <w:rFonts w:ascii="Times New Roman" w:hAnsi="Times New Roman" w:cs="Times New Roman"/>
          <w:b/>
          <w:sz w:val="24"/>
          <w:szCs w:val="24"/>
        </w:rPr>
        <w:t>ui</w:t>
      </w:r>
      <w:r w:rsidR="00A826C1" w:rsidRPr="008476B0">
        <w:rPr>
          <w:rFonts w:ascii="Times New Roman" w:hAnsi="Times New Roman" w:cs="Times New Roman"/>
          <w:b/>
          <w:sz w:val="24"/>
          <w:szCs w:val="24"/>
        </w:rPr>
        <w:t xml:space="preserve"> de Administraţie </w:t>
      </w:r>
    </w:p>
    <w:p w:rsidR="00900F84" w:rsidRDefault="00A826C1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6B0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900F84" w:rsidRPr="008476B0">
        <w:rPr>
          <w:rFonts w:ascii="Times New Roman" w:hAnsi="Times New Roman" w:cs="Times New Roman"/>
          <w:b/>
          <w:sz w:val="24"/>
          <w:szCs w:val="24"/>
        </w:rPr>
        <w:t>PIEȚE</w:t>
      </w:r>
      <w:r w:rsidRPr="008476B0">
        <w:rPr>
          <w:rFonts w:ascii="Times New Roman" w:hAnsi="Times New Roman" w:cs="Times New Roman"/>
          <w:b/>
          <w:sz w:val="24"/>
          <w:szCs w:val="24"/>
        </w:rPr>
        <w:t xml:space="preserve"> S.A. Timișoara</w:t>
      </w:r>
    </w:p>
    <w:p w:rsidR="00E97F2D" w:rsidRPr="00E97F2D" w:rsidRDefault="00E97F2D" w:rsidP="002021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F84" w:rsidRPr="008476B0" w:rsidRDefault="002A331B" w:rsidP="002021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 xml:space="preserve">Prin </w:t>
      </w:r>
      <w:r w:rsidR="00A80CB1" w:rsidRPr="008476B0">
        <w:rPr>
          <w:rFonts w:ascii="Times New Roman" w:hAnsi="Times New Roman" w:cs="Times New Roman"/>
          <w:sz w:val="24"/>
          <w:szCs w:val="24"/>
        </w:rPr>
        <w:t xml:space="preserve">Hotărârea Consiliului Local al Municipiului Timişoara </w:t>
      </w:r>
      <w:r w:rsidR="00900F84" w:rsidRPr="00B2763F">
        <w:rPr>
          <w:rFonts w:ascii="Times New Roman" w:hAnsi="Times New Roman" w:cs="Times New Roman"/>
          <w:sz w:val="24"/>
          <w:szCs w:val="24"/>
        </w:rPr>
        <w:t>Hotărârea Consiliului Local al Municipiului Timișoara nr. 230/15.06.2021</w:t>
      </w:r>
      <w:r w:rsidR="00943EEE">
        <w:rPr>
          <w:rFonts w:ascii="Times New Roman" w:hAnsi="Times New Roman" w:cs="Times New Roman"/>
          <w:sz w:val="24"/>
          <w:szCs w:val="24"/>
        </w:rPr>
        <w:t xml:space="preserve"> </w:t>
      </w:r>
      <w:r w:rsidR="00900F84" w:rsidRPr="008476B0">
        <w:rPr>
          <w:rFonts w:ascii="Times New Roman" w:hAnsi="Times New Roman" w:cs="Times New Roman"/>
          <w:bCs/>
          <w:color w:val="000000"/>
          <w:sz w:val="24"/>
          <w:szCs w:val="24"/>
        </w:rPr>
        <w:t>a fost aprobată declanșarea procedurii de selecție a membrilor Consiliului de Administrație la PIEȚE S.A. Timișoara</w:t>
      </w:r>
      <w:r w:rsidR="00900F84"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și </w:t>
      </w:r>
      <w:r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Scrisoarea de așteptări 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în procesul de recrutare pentru poziţia de membru în consiliul de administraţie al societății.</w:t>
      </w:r>
    </w:p>
    <w:p w:rsidR="00A80CB1" w:rsidRPr="008476B0" w:rsidRDefault="00900F84" w:rsidP="002021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Ț</w:t>
      </w:r>
      <w:r w:rsidR="002A331B" w:rsidRPr="008476B0">
        <w:rPr>
          <w:rFonts w:ascii="Times New Roman" w:hAnsi="Times New Roman" w:cs="Times New Roman"/>
          <w:sz w:val="24"/>
          <w:szCs w:val="24"/>
        </w:rPr>
        <w:t xml:space="preserve">inând cont de prevederile </w:t>
      </w:r>
      <w:r w:rsidR="002A331B" w:rsidRPr="00B2763F">
        <w:rPr>
          <w:rFonts w:ascii="Times New Roman" w:hAnsi="Times New Roman" w:cs="Times New Roman"/>
          <w:bCs/>
          <w:sz w:val="24"/>
          <w:szCs w:val="24"/>
        </w:rPr>
        <w:t>Hotărârii</w:t>
      </w:r>
      <w:r w:rsidR="00A80CB1" w:rsidRPr="00B2763F">
        <w:rPr>
          <w:rFonts w:ascii="Times New Roman" w:hAnsi="Times New Roman" w:cs="Times New Roman"/>
          <w:bCs/>
          <w:sz w:val="24"/>
          <w:szCs w:val="24"/>
        </w:rPr>
        <w:t xml:space="preserve"> Consiliului Local</w:t>
      </w:r>
      <w:r w:rsidRPr="00B2763F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Pr="00B2763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258/13.07.2021</w:t>
      </w:r>
      <w:r w:rsidRPr="008476B0">
        <w:rPr>
          <w:rFonts w:ascii="Times New Roman" w:hAnsi="Times New Roman" w:cs="Times New Roman"/>
          <w:bCs/>
          <w:color w:val="000000"/>
          <w:sz w:val="24"/>
          <w:szCs w:val="24"/>
        </w:rPr>
        <w:t>privind aprobarea Profilului Consiliului de Administrație și Profilului personalizat al membrilor Consiliului de Administrație la PIEȚE S.A. Timișoara</w:t>
      </w:r>
      <w:r w:rsidR="002A331B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r w:rsidR="002667AA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Comisia de selecție</w:t>
      </w:r>
      <w:r w:rsidR="00943EEE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constituită prin Hotărârea Consiliului Local al Municipiului Timişoara nr. 64/2021</w:t>
      </w:r>
      <w:r w:rsidR="00A80CB1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943EEE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A25CB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modificată prin HCL nr. 341/2022</w:t>
      </w:r>
      <w:r w:rsidR="00885AD6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</w:t>
      </w:r>
      <w:r w:rsidR="00A25CB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75041A" w:rsidRPr="008476B0">
        <w:rPr>
          <w:rFonts w:ascii="Times New Roman" w:hAnsi="Times New Roman" w:cs="Times New Roman"/>
          <w:sz w:val="24"/>
          <w:szCs w:val="24"/>
        </w:rPr>
        <w:t xml:space="preserve">propune </w:t>
      </w:r>
      <w:r w:rsidR="00A80CB1" w:rsidRPr="008476B0">
        <w:rPr>
          <w:rFonts w:ascii="Times New Roman" w:hAnsi="Times New Roman" w:cs="Times New Roman"/>
          <w:sz w:val="24"/>
          <w:szCs w:val="24"/>
        </w:rPr>
        <w:t>profilul candidatului cu următoarele competenţe, trăsături şi cerinţe:</w:t>
      </w:r>
    </w:p>
    <w:p w:rsidR="00731E38" w:rsidRPr="008476B0" w:rsidRDefault="00A80CB1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="002667AA" w:rsidRPr="008476B0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unoştinte generale despre domeniul </w:t>
      </w:r>
      <w:r w:rsidR="002667AA" w:rsidRPr="008476B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activitate al societății și despre domeniul utilităților publice)</w:t>
      </w:r>
      <w:r w:rsidR="004D5652" w:rsidRPr="008476B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667AA" w:rsidRPr="008476B0" w:rsidRDefault="00731E38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profes</w:t>
      </w:r>
      <w:r w:rsidR="004D5652" w:rsidRPr="008476B0">
        <w:rPr>
          <w:rFonts w:ascii="Times New Roman" w:hAnsi="Times New Roman" w:cs="Times New Roman"/>
          <w:sz w:val="24"/>
          <w:szCs w:val="24"/>
        </w:rPr>
        <w:t>ionale de importanță strategică/</w:t>
      </w:r>
      <w:r w:rsidRPr="008476B0">
        <w:rPr>
          <w:rFonts w:ascii="Times New Roman" w:hAnsi="Times New Roman" w:cs="Times New Roman"/>
          <w:sz w:val="24"/>
          <w:szCs w:val="24"/>
        </w:rPr>
        <w:t>tehnică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r w:rsidR="007C1025" w:rsidRPr="008476B0">
        <w:rPr>
          <w:rFonts w:ascii="Times New Roman" w:hAnsi="Times New Roman" w:cs="Times New Roman"/>
          <w:sz w:val="24"/>
          <w:szCs w:val="24"/>
        </w:rPr>
        <w:t>v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iziune strategică,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ompetența financiară și de contabilitate, 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ompetența de gestionare a riscului,  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>apacitatea de atragere și gestionare a investițiilor)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:rsidR="002667AA" w:rsidRPr="008476B0" w:rsidRDefault="00731E38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de guvernanță corporativă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r w:rsidR="007C1025" w:rsidRPr="008476B0">
        <w:rPr>
          <w:rFonts w:ascii="Times New Roman" w:hAnsi="Times New Roman" w:cs="Times New Roman"/>
          <w:sz w:val="24"/>
          <w:szCs w:val="24"/>
        </w:rPr>
        <w:t>g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uvernanţa  întreprinderilor publice și rolul consiliului, </w:t>
      </w:r>
      <w:r w:rsidR="007C1025" w:rsidRPr="008476B0">
        <w:rPr>
          <w:rFonts w:ascii="Times New Roman" w:hAnsi="Times New Roman" w:cs="Times New Roman"/>
          <w:sz w:val="24"/>
          <w:szCs w:val="24"/>
        </w:rPr>
        <w:t>l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uarea deciziei, </w:t>
      </w:r>
      <w:r w:rsidR="007C1025" w:rsidRPr="008476B0">
        <w:rPr>
          <w:rFonts w:ascii="Times New Roman" w:hAnsi="Times New Roman" w:cs="Times New Roman"/>
          <w:sz w:val="24"/>
          <w:szCs w:val="24"/>
        </w:rPr>
        <w:t>m</w:t>
      </w:r>
      <w:r w:rsidR="002667AA" w:rsidRPr="008476B0">
        <w:rPr>
          <w:rFonts w:ascii="Times New Roman" w:hAnsi="Times New Roman" w:cs="Times New Roman"/>
          <w:sz w:val="24"/>
          <w:szCs w:val="24"/>
        </w:rPr>
        <w:t>onitorizare și control)</w:t>
      </w:r>
    </w:p>
    <w:p w:rsidR="00731E38" w:rsidRPr="008476B0" w:rsidRDefault="00731E38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Competențe sociale și personale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 (</w:t>
      </w:r>
      <w:r w:rsidR="007C1025" w:rsidRPr="008476B0">
        <w:rPr>
          <w:rFonts w:ascii="Times New Roman" w:hAnsi="Times New Roman" w:cs="Times New Roman"/>
          <w:sz w:val="24"/>
          <w:szCs w:val="24"/>
        </w:rPr>
        <w:t>c</w:t>
      </w:r>
      <w:r w:rsidR="002667AA" w:rsidRPr="008476B0">
        <w:rPr>
          <w:rFonts w:ascii="Times New Roman" w:hAnsi="Times New Roman" w:cs="Times New Roman"/>
          <w:sz w:val="24"/>
          <w:szCs w:val="24"/>
        </w:rPr>
        <w:t xml:space="preserve">olaborare și cooperare cu alte părți, </w:t>
      </w:r>
      <w:r w:rsidR="007C1025" w:rsidRPr="008476B0">
        <w:rPr>
          <w:rFonts w:ascii="Times New Roman" w:hAnsi="Times New Roman" w:cs="Times New Roman"/>
          <w:sz w:val="24"/>
          <w:szCs w:val="24"/>
        </w:rPr>
        <w:t>o</w:t>
      </w:r>
      <w:r w:rsidR="002667AA" w:rsidRPr="008476B0">
        <w:rPr>
          <w:rFonts w:ascii="Times New Roman" w:hAnsi="Times New Roman" w:cs="Times New Roman"/>
          <w:sz w:val="24"/>
          <w:szCs w:val="24"/>
        </w:rPr>
        <w:t>rganizare și planificare)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:rsidR="00731E38" w:rsidRPr="008476B0" w:rsidRDefault="00731E38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Experiența pe plan național și internațional</w:t>
      </w:r>
      <w:r w:rsidR="004D5652" w:rsidRPr="008476B0">
        <w:rPr>
          <w:rFonts w:ascii="Times New Roman" w:hAnsi="Times New Roman" w:cs="Times New Roman"/>
          <w:sz w:val="24"/>
          <w:szCs w:val="24"/>
        </w:rPr>
        <w:t>;</w:t>
      </w:r>
    </w:p>
    <w:p w:rsidR="007C1025" w:rsidRPr="008476B0" w:rsidRDefault="00A80CB1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Trăsături</w:t>
      </w:r>
      <w:r w:rsidR="007C1025" w:rsidRPr="008476B0">
        <w:rPr>
          <w:rFonts w:ascii="Times New Roman" w:hAnsi="Times New Roman" w:cs="Times New Roman"/>
          <w:sz w:val="24"/>
          <w:szCs w:val="24"/>
        </w:rPr>
        <w:t xml:space="preserve"> (reputaţie personală și profesională, integritate, independenţa, expunere politică,  abilități de comunicare interpersonală, aliniere cu Scrisoarea de așteptări);</w:t>
      </w:r>
    </w:p>
    <w:p w:rsidR="007C1025" w:rsidRPr="008476B0" w:rsidRDefault="007C1025" w:rsidP="0020219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lastRenderedPageBreak/>
        <w:t>Condiții</w:t>
      </w:r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prescriptive şi proscriptive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476B0">
        <w:rPr>
          <w:rFonts w:ascii="Times New Roman" w:hAnsi="Times New Roman" w:cs="Times New Roman"/>
          <w:sz w:val="24"/>
          <w:szCs w:val="24"/>
        </w:rPr>
        <w:t>număr de mandate, experiență de administrare și/sau management, evoluția profitabilității, studii superioare finalizate, înscrieri în cazierul judiciar/fiscal).</w:t>
      </w:r>
    </w:p>
    <w:p w:rsidR="00A80CB1" w:rsidRPr="008476B0" w:rsidRDefault="00A80CB1" w:rsidP="002021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a fost </w:t>
      </w:r>
      <w:r w:rsidR="00943EEE">
        <w:rPr>
          <w:rFonts w:ascii="Times New Roman" w:eastAsia="Times New Roman" w:hAnsi="Times New Roman" w:cs="Times New Roman"/>
          <w:sz w:val="24"/>
          <w:szCs w:val="24"/>
        </w:rPr>
        <w:t>realizată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presa scrisă (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7C1025" w:rsidRPr="008476B0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C450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476B0">
        <w:rPr>
          <w:rFonts w:ascii="Times New Roman" w:eastAsia="Times New Roman" w:hAnsi="Times New Roman" w:cs="Times New Roman"/>
          <w:sz w:val="24"/>
          <w:szCs w:val="24"/>
        </w:rPr>
        <w:t>pe pagina de internet a societăţii.</w:t>
      </w:r>
    </w:p>
    <w:p w:rsidR="00A80CB1" w:rsidRPr="008476B0" w:rsidRDefault="007C1025" w:rsidP="00202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>Comisia de selecție</w:t>
      </w:r>
      <w:r w:rsidR="00A80CB1" w:rsidRPr="008476B0">
        <w:rPr>
          <w:rFonts w:ascii="Times New Roman" w:eastAsia="Times New Roman" w:hAnsi="Times New Roman" w:cs="Times New Roman"/>
          <w:sz w:val="24"/>
          <w:szCs w:val="24"/>
        </w:rPr>
        <w:t xml:space="preserve"> a evaluat dosarele de candidatură depuse în termen şi a întocmit lista lungă şi lista scurtă a candidaţilor.</w:t>
      </w:r>
    </w:p>
    <w:p w:rsidR="00A80CB1" w:rsidRPr="008476B0" w:rsidRDefault="00A80CB1" w:rsidP="002021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6B0">
        <w:rPr>
          <w:rFonts w:ascii="Times New Roman" w:eastAsia="Times New Roman" w:hAnsi="Times New Roman" w:cs="Times New Roman"/>
          <w:sz w:val="24"/>
          <w:szCs w:val="24"/>
        </w:rPr>
        <w:t>În urma analizei listei scurte, Comisia de selecţie a solicitat candidaţilor admişi să depună în scris şi la termenul stabilit declaraţia de intenţie.</w:t>
      </w:r>
    </w:p>
    <w:p w:rsidR="008476B0" w:rsidRDefault="00A80CB1" w:rsidP="002021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În cadrul interviului, candidaţii admişi în lista scurtă</w:t>
      </w:r>
      <w:r w:rsidR="00943EEE">
        <w:rPr>
          <w:rFonts w:ascii="Times New Roman" w:hAnsi="Times New Roman" w:cs="Times New Roman"/>
          <w:sz w:val="24"/>
          <w:szCs w:val="24"/>
        </w:rPr>
        <w:t xml:space="preserve"> </w:t>
      </w:r>
      <w:r w:rsidRPr="008476B0">
        <w:rPr>
          <w:rFonts w:ascii="Times New Roman" w:hAnsi="Times New Roman" w:cs="Times New Roman"/>
          <w:sz w:val="24"/>
          <w:szCs w:val="24"/>
        </w:rPr>
        <w:t xml:space="preserve">au fost evaluaţi individual pe baza criteriilor aprobate prin HCL. nr. </w:t>
      </w:r>
      <w:r w:rsidR="0075041A"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258</w:t>
      </w:r>
      <w:r w:rsidR="00731E38" w:rsidRPr="008476B0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/13.07.2021</w:t>
      </w:r>
      <w:r w:rsidRPr="008476B0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266F37" w:rsidRPr="008476B0" w:rsidRDefault="00A80CB1" w:rsidP="002021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 şi integrarea acestora în matrice,</w:t>
      </w:r>
      <w:r w:rsidR="00943EEE">
        <w:rPr>
          <w:rFonts w:ascii="Times New Roman" w:hAnsi="Times New Roman" w:cs="Times New Roman"/>
          <w:sz w:val="24"/>
          <w:szCs w:val="24"/>
        </w:rPr>
        <w:t xml:space="preserve"> </w:t>
      </w:r>
      <w:r w:rsidRPr="008476B0">
        <w:rPr>
          <w:rFonts w:ascii="Times New Roman" w:hAnsi="Times New Roman" w:cs="Times New Roman"/>
          <w:sz w:val="24"/>
          <w:szCs w:val="24"/>
        </w:rPr>
        <w:t xml:space="preserve">clasificarea candidaţilor pentru funcţiile vacante de membri în Consiliul de Administraţie la </w:t>
      </w:r>
      <w:r w:rsidR="0075041A" w:rsidRPr="008476B0">
        <w:rPr>
          <w:rFonts w:ascii="Times New Roman" w:hAnsi="Times New Roman" w:cs="Times New Roman"/>
          <w:sz w:val="24"/>
          <w:szCs w:val="24"/>
        </w:rPr>
        <w:t>PIEȚE</w:t>
      </w:r>
      <w:r w:rsidRPr="008476B0">
        <w:rPr>
          <w:rFonts w:ascii="Times New Roman" w:hAnsi="Times New Roman" w:cs="Times New Roman"/>
          <w:sz w:val="24"/>
          <w:szCs w:val="24"/>
        </w:rPr>
        <w:t xml:space="preserve"> S.A.</w:t>
      </w:r>
      <w:r w:rsidR="007C1025" w:rsidRPr="008476B0">
        <w:rPr>
          <w:rFonts w:ascii="Times New Roman" w:hAnsi="Times New Roman" w:cs="Times New Roman"/>
          <w:sz w:val="24"/>
          <w:szCs w:val="24"/>
        </w:rPr>
        <w:t xml:space="preserve"> Timișoara</w:t>
      </w:r>
      <w:r w:rsidR="009F7D08" w:rsidRPr="008476B0">
        <w:rPr>
          <w:rFonts w:ascii="Times New Roman" w:hAnsi="Times New Roman" w:cs="Times New Roman"/>
          <w:sz w:val="24"/>
          <w:szCs w:val="24"/>
        </w:rPr>
        <w:t xml:space="preserve">, </w:t>
      </w:r>
      <w:r w:rsidR="00250534" w:rsidRPr="008476B0">
        <w:rPr>
          <w:rFonts w:ascii="Times New Roman" w:hAnsi="Times New Roman" w:cs="Times New Roman"/>
          <w:sz w:val="24"/>
          <w:szCs w:val="24"/>
        </w:rPr>
        <w:t>este prezentată în cele ce urmează.</w:t>
      </w:r>
    </w:p>
    <w:tbl>
      <w:tblPr>
        <w:tblW w:w="9214" w:type="dxa"/>
        <w:tblInd w:w="250" w:type="dxa"/>
        <w:tblLayout w:type="fixed"/>
        <w:tblLook w:val="04A0"/>
      </w:tblPr>
      <w:tblGrid>
        <w:gridCol w:w="567"/>
        <w:gridCol w:w="1701"/>
        <w:gridCol w:w="1010"/>
        <w:gridCol w:w="2610"/>
        <w:gridCol w:w="3326"/>
      </w:tblGrid>
      <w:tr w:rsidR="007C0B11" w:rsidRPr="008476B0" w:rsidTr="007C0B11">
        <w:trPr>
          <w:trHeight w:val="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Nr. crt.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Nume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</w:rPr>
              <w:t>ș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i</w:t>
            </w:r>
          </w:p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prenume</w:t>
            </w:r>
          </w:p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candidat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Punctaj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Descriere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profil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candidat</w:t>
            </w:r>
          </w:p>
        </w:tc>
        <w:tc>
          <w:tcPr>
            <w:tcW w:w="3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A303F2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Persoane care intră sub incidenţa art. 28, alin. </w:t>
            </w:r>
            <w:r w:rsidRPr="00A303F2">
              <w:rPr>
                <w:rFonts w:ascii="Times New Roman" w:eastAsia="Times New Roman" w:hAnsi="Times New Roman" w:cs="Times New Roman"/>
                <w:b/>
                <w:lang w:val="en-US"/>
              </w:rPr>
              <w:t>(4)</w:t>
            </w:r>
            <w:r w:rsidRPr="00A303F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din OUG nr. 109/2011</w:t>
            </w:r>
          </w:p>
        </w:tc>
      </w:tr>
      <w:tr w:rsidR="007C0B11" w:rsidRPr="008476B0" w:rsidTr="007C0B11">
        <w:trPr>
          <w:trHeight w:val="8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8476B0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1.       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8476B0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en-US"/>
              </w:rPr>
              <w:t>Voica Sorina Bianca</w:t>
            </w:r>
            <w:r w:rsidRPr="008476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8476B0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89,5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8476B0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</w:rPr>
              <w:t xml:space="preserve">Specializare în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domeniul </w:t>
            </w:r>
            <w:r w:rsidRPr="008476B0">
              <w:rPr>
                <w:rFonts w:ascii="Times New Roman" w:eastAsia="Times New Roman" w:hAnsi="Times New Roman" w:cs="Times New Roman"/>
                <w:color w:val="000000"/>
              </w:rPr>
              <w:t>științe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juridice</w:t>
            </w:r>
            <w:r w:rsidRPr="008476B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experiență în drept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B11" w:rsidRPr="008476B0" w:rsidRDefault="007C0B11" w:rsidP="0020219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476B0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6B501C" w:rsidRPr="008476B0" w:rsidRDefault="006B501C" w:rsidP="002021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B501C" w:rsidRPr="008476B0" w:rsidRDefault="006B501C" w:rsidP="00202190">
      <w:pPr>
        <w:spacing w:after="0" w:line="360" w:lineRule="auto"/>
        <w:ind w:firstLine="708"/>
        <w:jc w:val="both"/>
        <w:rPr>
          <w:rStyle w:val="salnbdy"/>
          <w:rFonts w:ascii="Times New Roman" w:eastAsiaTheme="minorHAnsi" w:hAnsi="Times New Roman" w:cs="Times New Roman"/>
          <w:color w:val="auto"/>
          <w:sz w:val="24"/>
          <w:szCs w:val="24"/>
          <w:shd w:val="clear" w:color="auto" w:fill="auto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Luând în considerare prevederile Legii nr. 31/1990 privind societățile și prevederile OUG nr. 109/2011 privind guvernanța corporativă a întreprinderilor publice (prevederi referitoare la structura obligatorie a consiliului de administrație) Comisia de selecție propune Consiliului Local al Municipiului Timișoara candidați care </w:t>
      </w:r>
      <w:r w:rsid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să asigure</w:t>
      </w: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 diversitate de competențe pentru atingerea obiectivelor strategice ale operatorului.</w:t>
      </w:r>
    </w:p>
    <w:p w:rsidR="006B501C" w:rsidRPr="008476B0" w:rsidRDefault="006B501C" w:rsidP="002021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În luarea deciziei de nominalizare, trebuie îndeplinite </w:t>
      </w:r>
      <w:r w:rsid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cumulativ</w:t>
      </w: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următoarele cerințe legate de structura viitorului consiliu de administrație:</w:t>
      </w:r>
    </w:p>
    <w:p w:rsidR="006B501C" w:rsidRPr="008476B0" w:rsidRDefault="006B501C" w:rsidP="002021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>Cel puțin doi dintre membrii consiliului de administrație trebuie să fie absolvenți de studii economice sau juridice și minimum 5 ani de experiență profesională în domeniul economic, juridic, contabilitate, de audit sau financiar;</w:t>
      </w:r>
    </w:p>
    <w:p w:rsidR="006B501C" w:rsidRPr="008476B0" w:rsidRDefault="006B501C" w:rsidP="002021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>Maximum unul dintre membrii consiliului de administrație poate fi funcționar public sau altă categorie de personal din cadrul autorităţii publice tutelare ori din cadrul altor auto</w:t>
      </w:r>
      <w:r w:rsidR="00365BC3">
        <w:rPr>
          <w:rFonts w:ascii="Times New Roman" w:eastAsiaTheme="minorHAnsi" w:hAnsi="Times New Roman" w:cs="Times New Roman"/>
          <w:sz w:val="24"/>
          <w:szCs w:val="24"/>
          <w:lang w:eastAsia="en-US"/>
        </w:rPr>
        <w:t>rităţi sau instituţii publice (</w:t>
      </w: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>art. 28 alin. 4 din OUG 109/2011);</w:t>
      </w:r>
    </w:p>
    <w:p w:rsidR="006B501C" w:rsidRPr="008476B0" w:rsidRDefault="006B501C" w:rsidP="002021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>Majoritatea administratorilor trebuie să fie independenți;</w:t>
      </w:r>
    </w:p>
    <w:p w:rsidR="006B501C" w:rsidRPr="008476B0" w:rsidRDefault="006B501C" w:rsidP="002021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6B0">
        <w:rPr>
          <w:rFonts w:ascii="Times New Roman" w:eastAsiaTheme="minorHAnsi" w:hAnsi="Times New Roman" w:cs="Times New Roman"/>
          <w:sz w:val="24"/>
          <w:szCs w:val="24"/>
          <w:lang w:eastAsia="en-US"/>
        </w:rPr>
        <w:t>Maximum unul dintre administratori poate fi executiv;</w:t>
      </w:r>
    </w:p>
    <w:p w:rsidR="00B163B4" w:rsidRPr="00943EEE" w:rsidRDefault="00943EEE" w:rsidP="002021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În concluzie, e</w:t>
      </w:r>
      <w:r w:rsidR="006B501C" w:rsidRP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ste de dorit ca prin nominalizările efecu</w:t>
      </w:r>
      <w:r w:rsidR="00DD74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tate să se asigure diversitatea </w:t>
      </w:r>
      <w:r w:rsidR="006B501C" w:rsidRPr="00943EEE">
        <w:rPr>
          <w:rFonts w:ascii="Times New Roman" w:eastAsiaTheme="minorHAnsi" w:hAnsi="Times New Roman" w:cs="Times New Roman"/>
          <w:sz w:val="24"/>
          <w:szCs w:val="24"/>
          <w:lang w:eastAsia="en-US"/>
        </w:rPr>
        <w:t>competențelor de care consiliul are nevoie pentru o funcționare optimă.</w:t>
      </w:r>
    </w:p>
    <w:p w:rsidR="00B163B4" w:rsidRPr="008476B0" w:rsidRDefault="00B163B4" w:rsidP="00202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CBC" w:rsidRPr="00A25CBC" w:rsidRDefault="00A80CB1" w:rsidP="002021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6B0">
        <w:rPr>
          <w:rFonts w:ascii="Times New Roman" w:hAnsi="Times New Roman" w:cs="Times New Roman"/>
          <w:sz w:val="24"/>
          <w:szCs w:val="24"/>
        </w:rPr>
        <w:t>COMISIA DE SELECŢIE:</w:t>
      </w:r>
    </w:p>
    <w:p w:rsidR="00B36436" w:rsidRPr="008476B0" w:rsidRDefault="00B36436" w:rsidP="0020219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Președinte: </w:t>
      </w:r>
      <w:r w:rsidR="00A25CB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POP SIMONA</w:t>
      </w:r>
    </w:p>
    <w:p w:rsidR="00B36436" w:rsidRPr="008476B0" w:rsidRDefault="00B36436" w:rsidP="00202190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Membri: </w:t>
      </w:r>
      <w:r w:rsidR="00CC0F65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DRĂGOI MIHAIL  ……………………………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………</w:t>
      </w:r>
    </w:p>
    <w:p w:rsidR="00A25CBC" w:rsidRDefault="00A25CBC" w:rsidP="00202190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LAZ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ĂR   </w:t>
      </w:r>
      <w:r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DANA…………………………………..</w:t>
      </w:r>
    </w:p>
    <w:p w:rsidR="00CC0F65" w:rsidRPr="008476B0" w:rsidRDefault="00A25CBC" w:rsidP="0020219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</w:t>
      </w:r>
      <w:r w:rsidR="00CC0F65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POPESCU  CARMEN……………………………</w:t>
      </w:r>
      <w:r w:rsidR="00B36436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……</w:t>
      </w:r>
    </w:p>
    <w:p w:rsidR="00CC0F65" w:rsidRPr="008476B0" w:rsidRDefault="00A25CBC" w:rsidP="00202190">
      <w:pPr>
        <w:spacing w:after="0" w:line="36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    </w:t>
      </w:r>
      <w:r w:rsidR="00CC0F65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RUȘEȚ  DORINA- OTELIA  …………………………</w:t>
      </w:r>
      <w:r w:rsidR="00B36436" w:rsidRPr="008476B0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sectPr w:rsidR="00CC0F65" w:rsidRPr="008476B0" w:rsidSect="000C114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557" w:rsidRDefault="00D47557" w:rsidP="00CC0F65">
      <w:pPr>
        <w:spacing w:after="0" w:line="240" w:lineRule="auto"/>
      </w:pPr>
      <w:r>
        <w:separator/>
      </w:r>
    </w:p>
  </w:endnote>
  <w:endnote w:type="continuationSeparator" w:id="1">
    <w:p w:rsidR="00D47557" w:rsidRDefault="00D47557" w:rsidP="00CC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31641"/>
      <w:docPartObj>
        <w:docPartGallery w:val="Page Numbers (Bottom of Page)"/>
        <w:docPartUnique/>
      </w:docPartObj>
    </w:sdtPr>
    <w:sdtContent>
      <w:p w:rsidR="00CA6B76" w:rsidRDefault="003048F8">
        <w:pPr>
          <w:pStyle w:val="Footer"/>
          <w:jc w:val="center"/>
        </w:pPr>
        <w:r>
          <w:fldChar w:fldCharType="begin"/>
        </w:r>
        <w:r w:rsidR="00F4186F">
          <w:instrText xml:space="preserve"> PAGE   \* MERGEFORMAT </w:instrText>
        </w:r>
        <w:r>
          <w:fldChar w:fldCharType="separate"/>
        </w:r>
        <w:r w:rsidR="00D475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6B76" w:rsidRDefault="00CA6B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557" w:rsidRDefault="00D47557" w:rsidP="00CC0F65">
      <w:pPr>
        <w:spacing w:after="0" w:line="240" w:lineRule="auto"/>
      </w:pPr>
      <w:r>
        <w:separator/>
      </w:r>
    </w:p>
  </w:footnote>
  <w:footnote w:type="continuationSeparator" w:id="1">
    <w:p w:rsidR="00D47557" w:rsidRDefault="00D47557" w:rsidP="00CC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8EA"/>
    <w:multiLevelType w:val="hybridMultilevel"/>
    <w:tmpl w:val="6270D590"/>
    <w:lvl w:ilvl="0" w:tplc="6ECC0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833F07"/>
    <w:multiLevelType w:val="multilevel"/>
    <w:tmpl w:val="0838C8F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eastAsia="Times New Roman" w:hint="default"/>
      </w:rPr>
    </w:lvl>
  </w:abstractNum>
  <w:abstractNum w:abstractNumId="2">
    <w:nsid w:val="2A0C3E73"/>
    <w:multiLevelType w:val="multilevel"/>
    <w:tmpl w:val="2B78F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8A7335"/>
    <w:multiLevelType w:val="hybridMultilevel"/>
    <w:tmpl w:val="F3221DBE"/>
    <w:lvl w:ilvl="0" w:tplc="7AE62F6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8A1914"/>
    <w:multiLevelType w:val="hybridMultilevel"/>
    <w:tmpl w:val="06A0A70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623D4"/>
    <w:multiLevelType w:val="hybridMultilevel"/>
    <w:tmpl w:val="816A3290"/>
    <w:lvl w:ilvl="0" w:tplc="08F4D0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AD1ABD"/>
    <w:multiLevelType w:val="hybridMultilevel"/>
    <w:tmpl w:val="25E88576"/>
    <w:lvl w:ilvl="0" w:tplc="69568F20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9581137"/>
    <w:multiLevelType w:val="hybridMultilevel"/>
    <w:tmpl w:val="61FA13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0CB1"/>
    <w:rsid w:val="000134B2"/>
    <w:rsid w:val="00025D6D"/>
    <w:rsid w:val="00073625"/>
    <w:rsid w:val="000B32F1"/>
    <w:rsid w:val="000C1143"/>
    <w:rsid w:val="0011274D"/>
    <w:rsid w:val="001431A7"/>
    <w:rsid w:val="00147BFF"/>
    <w:rsid w:val="0018720A"/>
    <w:rsid w:val="001A1023"/>
    <w:rsid w:val="001C4D3C"/>
    <w:rsid w:val="001D2866"/>
    <w:rsid w:val="001F4473"/>
    <w:rsid w:val="00202190"/>
    <w:rsid w:val="00235D67"/>
    <w:rsid w:val="00240114"/>
    <w:rsid w:val="00241D2B"/>
    <w:rsid w:val="00250534"/>
    <w:rsid w:val="00261354"/>
    <w:rsid w:val="002667AA"/>
    <w:rsid w:val="00266F37"/>
    <w:rsid w:val="002A331B"/>
    <w:rsid w:val="002B06EA"/>
    <w:rsid w:val="002C450D"/>
    <w:rsid w:val="002E3A6E"/>
    <w:rsid w:val="003048F8"/>
    <w:rsid w:val="003064D7"/>
    <w:rsid w:val="003503C5"/>
    <w:rsid w:val="00356087"/>
    <w:rsid w:val="00365BC3"/>
    <w:rsid w:val="003D7AD9"/>
    <w:rsid w:val="003E66B1"/>
    <w:rsid w:val="00416B10"/>
    <w:rsid w:val="00443129"/>
    <w:rsid w:val="00450D0C"/>
    <w:rsid w:val="0048472C"/>
    <w:rsid w:val="004B566E"/>
    <w:rsid w:val="004D5652"/>
    <w:rsid w:val="0050060E"/>
    <w:rsid w:val="00542B43"/>
    <w:rsid w:val="00555487"/>
    <w:rsid w:val="00561F16"/>
    <w:rsid w:val="0058778C"/>
    <w:rsid w:val="00597DEA"/>
    <w:rsid w:val="0061249E"/>
    <w:rsid w:val="006209CA"/>
    <w:rsid w:val="006526B2"/>
    <w:rsid w:val="00657399"/>
    <w:rsid w:val="00665DA2"/>
    <w:rsid w:val="006847DF"/>
    <w:rsid w:val="00692EBA"/>
    <w:rsid w:val="006B15FD"/>
    <w:rsid w:val="006B501C"/>
    <w:rsid w:val="006B585C"/>
    <w:rsid w:val="006C53C5"/>
    <w:rsid w:val="006E0A1A"/>
    <w:rsid w:val="006E0DED"/>
    <w:rsid w:val="0070361B"/>
    <w:rsid w:val="00715F09"/>
    <w:rsid w:val="00731E38"/>
    <w:rsid w:val="0075041A"/>
    <w:rsid w:val="0075436A"/>
    <w:rsid w:val="00761C81"/>
    <w:rsid w:val="007658A2"/>
    <w:rsid w:val="00772C12"/>
    <w:rsid w:val="007858FF"/>
    <w:rsid w:val="00795FB2"/>
    <w:rsid w:val="007C0B11"/>
    <w:rsid w:val="007C1025"/>
    <w:rsid w:val="007C38FE"/>
    <w:rsid w:val="008241B9"/>
    <w:rsid w:val="008476B0"/>
    <w:rsid w:val="00851C8F"/>
    <w:rsid w:val="00885AD6"/>
    <w:rsid w:val="00891AEB"/>
    <w:rsid w:val="008A4718"/>
    <w:rsid w:val="008C1A81"/>
    <w:rsid w:val="008C61A1"/>
    <w:rsid w:val="008E7508"/>
    <w:rsid w:val="00900F84"/>
    <w:rsid w:val="00902F9C"/>
    <w:rsid w:val="009049AC"/>
    <w:rsid w:val="009134DC"/>
    <w:rsid w:val="009173CD"/>
    <w:rsid w:val="00924675"/>
    <w:rsid w:val="0093201B"/>
    <w:rsid w:val="00936157"/>
    <w:rsid w:val="00943EEE"/>
    <w:rsid w:val="00947F10"/>
    <w:rsid w:val="009507A9"/>
    <w:rsid w:val="009543EF"/>
    <w:rsid w:val="009A7372"/>
    <w:rsid w:val="009E0FE6"/>
    <w:rsid w:val="009F07B7"/>
    <w:rsid w:val="009F7D08"/>
    <w:rsid w:val="00A25CBC"/>
    <w:rsid w:val="00A25F2C"/>
    <w:rsid w:val="00A26042"/>
    <w:rsid w:val="00A303F2"/>
    <w:rsid w:val="00A33EC3"/>
    <w:rsid w:val="00A80CB1"/>
    <w:rsid w:val="00A826C1"/>
    <w:rsid w:val="00AC5778"/>
    <w:rsid w:val="00AD0EC7"/>
    <w:rsid w:val="00AD50EA"/>
    <w:rsid w:val="00AE2D09"/>
    <w:rsid w:val="00AE3846"/>
    <w:rsid w:val="00AF44DC"/>
    <w:rsid w:val="00AF48AD"/>
    <w:rsid w:val="00B048EF"/>
    <w:rsid w:val="00B163B4"/>
    <w:rsid w:val="00B2763F"/>
    <w:rsid w:val="00B36436"/>
    <w:rsid w:val="00B7365F"/>
    <w:rsid w:val="00B86B24"/>
    <w:rsid w:val="00BC7491"/>
    <w:rsid w:val="00BC7801"/>
    <w:rsid w:val="00BE2C8D"/>
    <w:rsid w:val="00C06C85"/>
    <w:rsid w:val="00C16159"/>
    <w:rsid w:val="00C264ED"/>
    <w:rsid w:val="00C32AAB"/>
    <w:rsid w:val="00C51614"/>
    <w:rsid w:val="00C71ECB"/>
    <w:rsid w:val="00C7635F"/>
    <w:rsid w:val="00CA5197"/>
    <w:rsid w:val="00CA6098"/>
    <w:rsid w:val="00CA6B76"/>
    <w:rsid w:val="00CC0F65"/>
    <w:rsid w:val="00CE1C45"/>
    <w:rsid w:val="00CF0E7B"/>
    <w:rsid w:val="00D002AE"/>
    <w:rsid w:val="00D03144"/>
    <w:rsid w:val="00D20061"/>
    <w:rsid w:val="00D414ED"/>
    <w:rsid w:val="00D47557"/>
    <w:rsid w:val="00D50218"/>
    <w:rsid w:val="00DB4915"/>
    <w:rsid w:val="00DB52A2"/>
    <w:rsid w:val="00DC30FA"/>
    <w:rsid w:val="00DD7430"/>
    <w:rsid w:val="00DF5A69"/>
    <w:rsid w:val="00E146BC"/>
    <w:rsid w:val="00E175D2"/>
    <w:rsid w:val="00E504CE"/>
    <w:rsid w:val="00E677CC"/>
    <w:rsid w:val="00E82745"/>
    <w:rsid w:val="00E97F2D"/>
    <w:rsid w:val="00EA02DE"/>
    <w:rsid w:val="00ED3A46"/>
    <w:rsid w:val="00EE78B6"/>
    <w:rsid w:val="00F12208"/>
    <w:rsid w:val="00F20978"/>
    <w:rsid w:val="00F4186F"/>
    <w:rsid w:val="00F438D1"/>
    <w:rsid w:val="00F45A86"/>
    <w:rsid w:val="00F47AB9"/>
    <w:rsid w:val="00F7360D"/>
    <w:rsid w:val="00F97A8C"/>
    <w:rsid w:val="00FE0039"/>
    <w:rsid w:val="00FF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B1"/>
    <w:pPr>
      <w:spacing w:after="200" w:line="276" w:lineRule="auto"/>
      <w:ind w:left="0" w:firstLine="0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80CB1"/>
    <w:pPr>
      <w:ind w:left="720"/>
      <w:contextualSpacing/>
    </w:pPr>
  </w:style>
  <w:style w:type="table" w:styleId="TableGrid">
    <w:name w:val="Table Grid"/>
    <w:basedOn w:val="TableNormal"/>
    <w:uiPriority w:val="59"/>
    <w:rsid w:val="00A80CB1"/>
    <w:pPr>
      <w:ind w:left="0"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A80C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F6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65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56B2-BBE9-4107-B6D6-66D19839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15</cp:revision>
  <cp:lastPrinted>2022-12-13T06:08:00Z</cp:lastPrinted>
  <dcterms:created xsi:type="dcterms:W3CDTF">2022-12-12T09:00:00Z</dcterms:created>
  <dcterms:modified xsi:type="dcterms:W3CDTF">2022-12-13T15:13:00Z</dcterms:modified>
</cp:coreProperties>
</file>