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6D" w:rsidRPr="00D02FBC" w:rsidRDefault="00E84A6D" w:rsidP="00E84A6D">
      <w:pPr>
        <w:ind w:left="720"/>
      </w:pPr>
      <w:r w:rsidRPr="00D02FBC">
        <w:rPr>
          <w:noProof/>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D02FBC">
        <w:t>ROMÂNIA</w:t>
      </w:r>
    </w:p>
    <w:p w:rsidR="00E84A6D" w:rsidRPr="00D02FBC" w:rsidRDefault="00E84A6D" w:rsidP="00E84A6D">
      <w:pPr>
        <w:ind w:left="720"/>
      </w:pPr>
      <w:r w:rsidRPr="00D02FBC">
        <w:t>JUDEȚUL TIMIȘ</w:t>
      </w:r>
    </w:p>
    <w:p w:rsidR="00E84A6D" w:rsidRPr="00D02FBC" w:rsidRDefault="00E84A6D" w:rsidP="00E84A6D">
      <w:pPr>
        <w:ind w:left="720"/>
      </w:pPr>
      <w:r w:rsidRPr="00D02FBC">
        <w:t>MUNICIPIUL TIMIȘOARA</w:t>
      </w:r>
    </w:p>
    <w:p w:rsidR="00E84A6D" w:rsidRPr="00D02FBC" w:rsidRDefault="00E84A6D" w:rsidP="00E84A6D">
      <w:pPr>
        <w:jc w:val="both"/>
        <w:rPr>
          <w:rFonts w:eastAsiaTheme="minorHAnsi"/>
          <w:bCs/>
          <w:lang w:eastAsia="en-US"/>
        </w:rPr>
      </w:pPr>
      <w:r w:rsidRPr="00D02FBC">
        <w:rPr>
          <w:rFonts w:eastAsiaTheme="minorHAnsi"/>
          <w:bCs/>
          <w:lang w:eastAsia="en-US"/>
        </w:rPr>
        <w:t>DIRECȚIA ECONOMICĂ</w:t>
      </w:r>
    </w:p>
    <w:p w:rsidR="009B214F" w:rsidRPr="00D02FBC" w:rsidRDefault="00E84A6D" w:rsidP="00E84A6D">
      <w:pPr>
        <w:jc w:val="both"/>
        <w:rPr>
          <w:rFonts w:eastAsiaTheme="minorHAnsi"/>
          <w:bCs/>
          <w:lang w:eastAsia="en-US"/>
        </w:rPr>
      </w:pPr>
      <w:r w:rsidRPr="00D02FBC">
        <w:rPr>
          <w:rFonts w:eastAsiaTheme="minorHAnsi"/>
          <w:bCs/>
          <w:lang w:eastAsia="en-US"/>
        </w:rPr>
        <w:t>Biroul Guvernanță Corporativă și Monitorizare Societăți</w:t>
      </w:r>
      <w:r w:rsidR="009B214F" w:rsidRPr="00D02FBC">
        <w:rPr>
          <w:rFonts w:eastAsiaTheme="minorHAnsi"/>
          <w:bCs/>
          <w:lang w:eastAsia="en-US"/>
        </w:rPr>
        <w:t>,</w:t>
      </w:r>
    </w:p>
    <w:p w:rsidR="00E84A6D" w:rsidRPr="00D02FBC" w:rsidRDefault="009B214F" w:rsidP="00E84A6D">
      <w:pPr>
        <w:jc w:val="both"/>
        <w:rPr>
          <w:rFonts w:eastAsiaTheme="minorHAnsi"/>
          <w:bCs/>
          <w:lang w:eastAsia="en-US"/>
        </w:rPr>
      </w:pPr>
      <w:r w:rsidRPr="00D02FBC">
        <w:rPr>
          <w:rFonts w:eastAsiaTheme="minorHAnsi"/>
          <w:bCs/>
          <w:lang w:eastAsia="en-US"/>
        </w:rPr>
        <w:t>Instituții și Servicii Publice</w:t>
      </w:r>
    </w:p>
    <w:p w:rsidR="00092FDE" w:rsidRPr="00D02FBC" w:rsidRDefault="00A63C26" w:rsidP="00092FDE">
      <w:pPr>
        <w:pBdr>
          <w:bottom w:val="single" w:sz="12" w:space="1" w:color="auto"/>
        </w:pBdr>
        <w:ind w:left="720"/>
        <w:rPr>
          <w:rFonts w:eastAsiaTheme="minorHAnsi"/>
          <w:bCs/>
          <w:lang w:eastAsia="en-US"/>
        </w:rPr>
      </w:pPr>
      <w:r w:rsidRPr="00D02FBC">
        <w:rPr>
          <w:rFonts w:eastAsiaTheme="minorHAnsi"/>
          <w:bCs/>
          <w:lang w:eastAsia="en-US"/>
        </w:rPr>
        <w:t>Nr</w:t>
      </w:r>
      <w:r w:rsidR="00C95411" w:rsidRPr="00D02FBC">
        <w:rPr>
          <w:rFonts w:eastAsiaTheme="minorHAnsi"/>
          <w:bCs/>
          <w:lang w:eastAsia="en-US"/>
        </w:rPr>
        <w:t xml:space="preserve">. </w:t>
      </w:r>
      <w:r w:rsidR="00D763F0" w:rsidRPr="00D02FBC">
        <w:rPr>
          <w:color w:val="000000"/>
        </w:rPr>
        <w:t>TMI 2023-003967/21.07.2023</w:t>
      </w:r>
    </w:p>
    <w:p w:rsidR="00E84A6D" w:rsidRPr="00D02FBC" w:rsidRDefault="00E84A6D" w:rsidP="00D763F0">
      <w:pPr>
        <w:ind w:left="720" w:firstLine="696"/>
        <w:rPr>
          <w:rFonts w:eastAsiaTheme="minorHAnsi"/>
          <w:bCs/>
          <w:sz w:val="18"/>
          <w:szCs w:val="18"/>
          <w:lang w:eastAsia="en-US"/>
        </w:rPr>
      </w:pPr>
      <w:r w:rsidRPr="00D02FBC">
        <w:rPr>
          <w:i/>
          <w:sz w:val="18"/>
          <w:szCs w:val="18"/>
        </w:rPr>
        <w:t>Bd. C.D. Loga nr. 1, Timişoara, tel: +40 256 – 408.300, e-mail:</w:t>
      </w:r>
      <w:r w:rsidR="00E00BFB" w:rsidRPr="00D02FBC">
        <w:rPr>
          <w:i/>
          <w:sz w:val="18"/>
          <w:szCs w:val="18"/>
        </w:rPr>
        <w:t>steliana.stanciu</w:t>
      </w:r>
      <w:r w:rsidRPr="00D02FBC">
        <w:rPr>
          <w:i/>
          <w:sz w:val="18"/>
          <w:szCs w:val="18"/>
        </w:rPr>
        <w:t>@primariatm.ro</w:t>
      </w:r>
    </w:p>
    <w:p w:rsidR="00E84A6D" w:rsidRPr="00D02FBC" w:rsidRDefault="00E84A6D" w:rsidP="00E84A6D">
      <w:pPr>
        <w:spacing w:line="276" w:lineRule="auto"/>
        <w:jc w:val="center"/>
        <w:rPr>
          <w:rFonts w:asciiTheme="minorHAnsi" w:hAnsiTheme="minorHAnsi" w:cstheme="minorHAnsi"/>
          <w:b/>
        </w:rPr>
      </w:pPr>
    </w:p>
    <w:p w:rsidR="0059014B" w:rsidRPr="00D02FBC" w:rsidRDefault="002F0676" w:rsidP="003C117D">
      <w:pPr>
        <w:spacing w:after="120" w:line="360" w:lineRule="auto"/>
        <w:jc w:val="center"/>
      </w:pPr>
      <w:r w:rsidRPr="00D02FBC">
        <w:t>RAPORT DE SPECIALITATE</w:t>
      </w:r>
      <w:r w:rsidR="0059014B" w:rsidRPr="00D02FBC">
        <w:t xml:space="preserve"> </w:t>
      </w:r>
    </w:p>
    <w:p w:rsidR="00485839" w:rsidRPr="00D02FBC" w:rsidRDefault="002D40DC" w:rsidP="003C117D">
      <w:pPr>
        <w:spacing w:after="120" w:line="360" w:lineRule="auto"/>
        <w:jc w:val="center"/>
      </w:pPr>
      <w:r w:rsidRPr="00D02FBC">
        <w:rPr>
          <w:bCs/>
        </w:rPr>
        <w:t>pr</w:t>
      </w:r>
      <w:r w:rsidR="0059014B" w:rsidRPr="00D02FBC">
        <w:rPr>
          <w:bCs/>
        </w:rPr>
        <w:t>ivind mandatarea reprezentanților Municipiului Timișoara în Adunarea Generală a Acționarilor la Societatea de Transport Public Timișoara S.A. pentru aprobarea indicatorilor de performanță financiari și nefinanciari, precum și a indicatorilor cheie de performanță ai Consiliului de Administrație la Societatea de Transport Public Timișoara S.A.</w:t>
      </w:r>
    </w:p>
    <w:p w:rsidR="004A38E0" w:rsidRPr="00D02FBC" w:rsidRDefault="004A38E0" w:rsidP="003C117D">
      <w:pPr>
        <w:autoSpaceDE w:val="0"/>
        <w:autoSpaceDN w:val="0"/>
        <w:adjustRightInd w:val="0"/>
        <w:spacing w:after="120" w:line="360" w:lineRule="auto"/>
        <w:jc w:val="both"/>
      </w:pPr>
    </w:p>
    <w:p w:rsidR="00E14464" w:rsidRPr="00D02FBC" w:rsidRDefault="00E14464" w:rsidP="003C117D">
      <w:pPr>
        <w:autoSpaceDE w:val="0"/>
        <w:autoSpaceDN w:val="0"/>
        <w:adjustRightInd w:val="0"/>
        <w:spacing w:after="120" w:line="360" w:lineRule="auto"/>
        <w:jc w:val="both"/>
      </w:pPr>
      <w:r w:rsidRPr="00D02FBC">
        <w:t xml:space="preserve">Având în vedere: </w:t>
      </w:r>
    </w:p>
    <w:p w:rsidR="0059014B" w:rsidRPr="00D02FBC" w:rsidRDefault="0059014B" w:rsidP="003C117D">
      <w:pPr>
        <w:spacing w:after="120" w:line="360" w:lineRule="auto"/>
        <w:ind w:left="357"/>
        <w:jc w:val="both"/>
        <w:rPr>
          <w:color w:val="000000"/>
        </w:rPr>
      </w:pPr>
      <w:r w:rsidRPr="00D02FBC">
        <w:rPr>
          <w:color w:val="000000"/>
        </w:rPr>
        <w:t xml:space="preserve">Adresa </w:t>
      </w:r>
      <w:r w:rsidR="0095715C" w:rsidRPr="00D02FBC">
        <w:rPr>
          <w:bCs/>
        </w:rPr>
        <w:t>Societății de Transport Public Timișoara S.A. (</w:t>
      </w:r>
      <w:r w:rsidRPr="00D02FBC">
        <w:rPr>
          <w:color w:val="000000"/>
        </w:rPr>
        <w:t>S.T.P.T. S.A.</w:t>
      </w:r>
      <w:r w:rsidR="0095715C" w:rsidRPr="00D02FBC">
        <w:rPr>
          <w:color w:val="000000"/>
        </w:rPr>
        <w:t>)</w:t>
      </w:r>
      <w:r w:rsidRPr="00D02FBC">
        <w:rPr>
          <w:color w:val="000000"/>
        </w:rPr>
        <w:t xml:space="preserve"> înregistrată la Primăria Municipiului Timișoara – Direcția Economică cu nr. MTM 2023-006.692/22.05.2023, ca urmare a solicitării Direcției Economice - Biroul Guvernanță Corporativă și Monitorizare Societăți, Instituții și Servicii Publice de cuantificare a măsurilor descrise în forma inițială a Planului de administrare înregistrat la Primăria Municipiului Timișoara cu nr. SC2023-011.526/05.05.2023;</w:t>
      </w:r>
    </w:p>
    <w:p w:rsidR="0059014B" w:rsidRPr="00D02FBC" w:rsidRDefault="0059014B" w:rsidP="003C117D">
      <w:pPr>
        <w:spacing w:after="120" w:line="360" w:lineRule="auto"/>
        <w:ind w:left="357"/>
        <w:jc w:val="both"/>
        <w:rPr>
          <w:color w:val="000000"/>
        </w:rPr>
      </w:pPr>
      <w:r w:rsidRPr="00D02FBC">
        <w:rPr>
          <w:color w:val="000000"/>
        </w:rPr>
        <w:t>Decizia Consiliului de Administrație a S.T.P.T. nr. 38 din data de 20.04.2023;</w:t>
      </w:r>
    </w:p>
    <w:p w:rsidR="0059014B" w:rsidRPr="00D02FBC" w:rsidRDefault="0059014B" w:rsidP="003C117D">
      <w:pPr>
        <w:spacing w:after="120" w:line="360" w:lineRule="auto"/>
        <w:ind w:left="357"/>
        <w:jc w:val="both"/>
        <w:rPr>
          <w:color w:val="000000"/>
        </w:rPr>
      </w:pPr>
      <w:r w:rsidRPr="00D02FBC">
        <w:rPr>
          <w:color w:val="000000"/>
        </w:rPr>
        <w:t>Hotărârea Consiliului Local al Municipiului Timișoara nr. 444/23.11.2021 privind numirea reprezentanților Municipiului Timișoara în Adunarea Generală a Acționarilor la întreprinderile publice la care este acționar unic, majoritar sau la care deține controlul;</w:t>
      </w:r>
    </w:p>
    <w:p w:rsidR="0059014B" w:rsidRPr="00D02FBC" w:rsidRDefault="0059014B" w:rsidP="003C117D">
      <w:pPr>
        <w:spacing w:after="120" w:line="360" w:lineRule="auto"/>
        <w:ind w:left="357"/>
        <w:jc w:val="both"/>
        <w:rPr>
          <w:color w:val="000000"/>
        </w:rPr>
      </w:pPr>
      <w:r w:rsidRPr="00D02FBC">
        <w:rPr>
          <w:color w:val="000000"/>
        </w:rPr>
        <w:t xml:space="preserve">Hotărârea Consiliului Local al Municipiului Timișoara nr. 472/20.09.2022 privind mandatarea reprezentanților Municipiului Timișoara în Adunarea Generală a Acționarilor la Societatea de Transport Public Timișoara S.A. pentru numirea membrilor Consiliului </w:t>
      </w:r>
      <w:r w:rsidR="00E73799" w:rsidRPr="00D02FBC">
        <w:rPr>
          <w:color w:val="000000"/>
        </w:rPr>
        <w:t>de Administrație al societății;</w:t>
      </w:r>
    </w:p>
    <w:p w:rsidR="00E73799" w:rsidRPr="00D02FBC" w:rsidRDefault="00E73799" w:rsidP="003C117D">
      <w:pPr>
        <w:spacing w:after="120" w:line="360" w:lineRule="auto"/>
        <w:ind w:left="357"/>
        <w:jc w:val="both"/>
        <w:rPr>
          <w:color w:val="000000"/>
        </w:rPr>
      </w:pPr>
      <w:r w:rsidRPr="00D02FBC">
        <w:rPr>
          <w:color w:val="000000"/>
        </w:rPr>
        <w:t xml:space="preserve">Discuția din cadrul </w:t>
      </w:r>
      <w:r w:rsidR="00D64B1B" w:rsidRPr="00D02FBC">
        <w:rPr>
          <w:color w:val="000000"/>
        </w:rPr>
        <w:t xml:space="preserve">ședinței ordinare a Consiliului Local al Municipiului Timișoara </w:t>
      </w:r>
      <w:r w:rsidRPr="00D02FBC">
        <w:rPr>
          <w:color w:val="000000"/>
        </w:rPr>
        <w:t>ce a avut loc în data de 27.06.2023;</w:t>
      </w:r>
    </w:p>
    <w:p w:rsidR="00E73799" w:rsidRPr="00D02FBC" w:rsidRDefault="00E73799" w:rsidP="003C117D">
      <w:pPr>
        <w:spacing w:after="120" w:line="360" w:lineRule="auto"/>
        <w:ind w:left="357"/>
        <w:jc w:val="both"/>
        <w:rPr>
          <w:color w:val="000000"/>
        </w:rPr>
      </w:pPr>
      <w:r w:rsidRPr="00D02FBC">
        <w:rPr>
          <w:color w:val="000000"/>
        </w:rPr>
        <w:lastRenderedPageBreak/>
        <w:t xml:space="preserve">Propunerea subsecventă </w:t>
      </w:r>
      <w:r w:rsidR="00D64B1B" w:rsidRPr="00D02FBC">
        <w:rPr>
          <w:color w:val="000000"/>
        </w:rPr>
        <w:t>formulată de către doamna consilier local Roxana Iliescu privind indicatorii de performanță pentru S.T.P.T. S.A., propunere înregistrată în cadrul Primăriei Municipiului Timișoara cu nr. de înregistrare MTM2023-010430 din data 29.06.2023;</w:t>
      </w:r>
    </w:p>
    <w:p w:rsidR="00D64B1B" w:rsidRPr="00D02FBC" w:rsidRDefault="00D64B1B" w:rsidP="00D64B1B">
      <w:pPr>
        <w:spacing w:after="120" w:line="360" w:lineRule="auto"/>
        <w:ind w:left="357"/>
        <w:jc w:val="both"/>
        <w:rPr>
          <w:color w:val="000000"/>
        </w:rPr>
      </w:pPr>
      <w:r w:rsidRPr="00D02FBC">
        <w:rPr>
          <w:color w:val="000000"/>
        </w:rPr>
        <w:t>Documentul transmis de către S.T.P.T. S.A. prin care se oferă clarificări pe care societatea le consideră oportune ca urmare a discuțiilor din cadrul ședinței ordinare a Consiliului Local al Municipiului Timișoara ce a avut loc în data de 27.06.2023, document înregistrat în cadrul Primăriei Municipiului Timișoara cu nr. de înregistrare MTM2023-010748 din data 30.06.2023;</w:t>
      </w:r>
    </w:p>
    <w:p w:rsidR="00E73799" w:rsidRPr="00D02FBC" w:rsidRDefault="00E73799" w:rsidP="00E73799">
      <w:pPr>
        <w:spacing w:after="120" w:line="360" w:lineRule="auto"/>
        <w:ind w:left="357"/>
        <w:jc w:val="both"/>
        <w:rPr>
          <w:color w:val="000000"/>
        </w:rPr>
      </w:pPr>
      <w:r w:rsidRPr="00D02FBC">
        <w:rPr>
          <w:color w:val="000000"/>
        </w:rPr>
        <w:t>Referatul de aprobare a proiectului de hotărâre, al Primarului Municipiului Timişoara, domnul Dominic Fritz;</w:t>
      </w:r>
    </w:p>
    <w:p w:rsidR="008316B3" w:rsidRPr="00D02FBC" w:rsidRDefault="008316B3" w:rsidP="003C117D">
      <w:pPr>
        <w:autoSpaceDE w:val="0"/>
        <w:autoSpaceDN w:val="0"/>
        <w:adjustRightInd w:val="0"/>
        <w:spacing w:after="120" w:line="360" w:lineRule="auto"/>
        <w:jc w:val="both"/>
        <w:rPr>
          <w:color w:val="000000"/>
        </w:rPr>
      </w:pPr>
      <w:r w:rsidRPr="00D02FBC">
        <w:rPr>
          <w:color w:val="000000"/>
        </w:rPr>
        <w:t>Facem următoarele precizări:</w:t>
      </w:r>
    </w:p>
    <w:p w:rsidR="004A38E0" w:rsidRPr="00D02FBC" w:rsidRDefault="008316B3" w:rsidP="003C117D">
      <w:pPr>
        <w:spacing w:after="120" w:line="360" w:lineRule="auto"/>
        <w:jc w:val="both"/>
        <w:rPr>
          <w:color w:val="000000"/>
        </w:rPr>
      </w:pPr>
      <w:r w:rsidRPr="00D02FBC">
        <w:rPr>
          <w:color w:val="000000"/>
        </w:rPr>
        <w:t xml:space="preserve">Potrivit adresei </w:t>
      </w:r>
      <w:r w:rsidR="004A38E0" w:rsidRPr="00D02FBC">
        <w:rPr>
          <w:color w:val="000000"/>
        </w:rPr>
        <w:t xml:space="preserve">SC2023-011.526/05.05.2023 </w:t>
      </w:r>
      <w:r w:rsidR="0057077D" w:rsidRPr="00D02FBC">
        <w:rPr>
          <w:color w:val="000000"/>
        </w:rPr>
        <w:t>înregistrată la Primăria Municipiului Timișoara – Direcția Economică</w:t>
      </w:r>
      <w:r w:rsidRPr="00D02FBC">
        <w:rPr>
          <w:color w:val="000000"/>
        </w:rPr>
        <w:t xml:space="preserve">, </w:t>
      </w:r>
      <w:r w:rsidR="0095715C" w:rsidRPr="00D02FBC">
        <w:rPr>
          <w:color w:val="000000"/>
        </w:rPr>
        <w:t xml:space="preserve">S.T.P.T. S.A. </w:t>
      </w:r>
      <w:r w:rsidR="004A38E0" w:rsidRPr="00D02FBC">
        <w:rPr>
          <w:color w:val="000000"/>
        </w:rPr>
        <w:t xml:space="preserve">a înaintat </w:t>
      </w:r>
      <w:r w:rsidR="000C686C" w:rsidRPr="00D02FBC">
        <w:rPr>
          <w:color w:val="000000"/>
        </w:rPr>
        <w:t xml:space="preserve">Planul de administrare al societății către </w:t>
      </w:r>
      <w:r w:rsidR="004A38E0" w:rsidRPr="00D02FBC">
        <w:rPr>
          <w:color w:val="000000"/>
        </w:rPr>
        <w:t>Autorit</w:t>
      </w:r>
      <w:r w:rsidR="000C686C" w:rsidRPr="00D02FBC">
        <w:rPr>
          <w:color w:val="000000"/>
        </w:rPr>
        <w:t>atea</w:t>
      </w:r>
      <w:r w:rsidR="004A38E0" w:rsidRPr="00D02FBC">
        <w:rPr>
          <w:color w:val="000000"/>
        </w:rPr>
        <w:t xml:space="preserve"> </w:t>
      </w:r>
      <w:r w:rsidR="000C686C" w:rsidRPr="00D02FBC">
        <w:rPr>
          <w:color w:val="000000"/>
        </w:rPr>
        <w:t>Publică T</w:t>
      </w:r>
      <w:r w:rsidR="004A38E0" w:rsidRPr="00D02FBC">
        <w:rPr>
          <w:color w:val="000000"/>
        </w:rPr>
        <w:t>utelare</w:t>
      </w:r>
      <w:r w:rsidR="0090206E" w:rsidRPr="00D02FBC">
        <w:rPr>
          <w:color w:val="000000"/>
        </w:rPr>
        <w:t>.</w:t>
      </w:r>
    </w:p>
    <w:p w:rsidR="0090206E" w:rsidRDefault="0090206E" w:rsidP="0090206E">
      <w:pPr>
        <w:spacing w:after="120" w:line="360" w:lineRule="auto"/>
        <w:jc w:val="both"/>
        <w:rPr>
          <w:color w:val="000000"/>
        </w:rPr>
      </w:pPr>
      <w:r w:rsidRPr="00D02FBC">
        <w:rPr>
          <w:color w:val="000000"/>
        </w:rPr>
        <w:t>Prin adresa SC2023-011.526/12.05.2023, Direcția economică - Biroul Guvernanță Corporativă și Monitorizare Societăți, Instituții și Servicii Publice a considerat oportună cuantificarea măsurilor descrise în Planul de administrare, cel puțin pe partea de creștere a veniturilor și de reducere a cheltuielilor de operare, pentru a putea avea o imagine mai clară asupra performanței economice viitoare, mai ales în condițiile procesului viitor de negociere a indicatorilor de performanță. Astfel, în data de 22.05.2023, S.T.P.T. S.A. a răspuns prin adresa înregistrată cu MTM 2023-006.692, prin care a specificat faptul că prezentul Plan de administrare își propune, în esență, continuarea activității societății pe o perioadă de 7 ani, în concordanta cu planul de restructurare, iar rata de evoluție a cifrei de afaceri pe perioada de previziune a fost considerată în mod prudențial. Totodată, în adresa mai sus menționată, S.T.P.T. S.A. specifică faptul că Planul de restructurare a obligațiilor bugetare întocmit în conformitate cu OG 6/2019 va deveni obligatoriu, în condițiile aprobării sale de către ANAF, Consiliul de Administrație, împreună cu conducerea executivă, vor proceda, pe întreaga durata a mandatelor, la implementarea măsurilor și respectarea termenelor asumate prin Planul de restructurare.</w:t>
      </w:r>
    </w:p>
    <w:p w:rsidR="009B1DD1" w:rsidRPr="009B1DD1" w:rsidRDefault="009B1DD1" w:rsidP="009B1DD1">
      <w:pPr>
        <w:spacing w:after="120" w:line="360" w:lineRule="auto"/>
        <w:jc w:val="both"/>
        <w:rPr>
          <w:vanish/>
          <w:color w:val="000000"/>
        </w:rPr>
      </w:pPr>
      <w:r w:rsidRPr="009B1DD1">
        <w:rPr>
          <w:bCs/>
          <w:color w:val="000000"/>
        </w:rPr>
        <w:t>Conform articolului 3 din OUG 109/2011,</w:t>
      </w:r>
      <w:r w:rsidRPr="009B1DD1">
        <w:rPr>
          <w:color w:val="000000"/>
        </w:rPr>
        <w:t xml:space="preserve"> autoritatea publică tutelară exercită dreptul de proprietate asupra acţiunilor/părţilor sociale, după caz, deţinute în întreprinderea publică, prin</w:t>
      </w:r>
      <w:r w:rsidRPr="009B1DD1">
        <w:rPr>
          <w:vanish/>
          <w:color w:val="000000"/>
        </w:rPr>
        <w:t xml:space="preserve"> în termen de 3 zile de la finalizarea procedurii;</w:t>
      </w:r>
    </w:p>
    <w:p w:rsidR="00A04E72" w:rsidRDefault="009B1DD1" w:rsidP="009B1DD1">
      <w:pPr>
        <w:spacing w:after="120" w:line="360" w:lineRule="auto"/>
        <w:jc w:val="both"/>
        <w:rPr>
          <w:color w:val="000000"/>
        </w:rPr>
      </w:pPr>
      <w:r w:rsidRPr="009B1DD1">
        <w:rPr>
          <w:color w:val="000000"/>
        </w:rPr>
        <w:t xml:space="preserve"> </w:t>
      </w:r>
      <w:r w:rsidRPr="009B1DD1">
        <w:rPr>
          <w:color w:val="000000"/>
        </w:rPr>
        <w:lastRenderedPageBreak/>
        <w:t xml:space="preserve">negocierea indicatorilor-cheie de performanţă ai administratorilor, transmiterea acestora către </w:t>
      </w:r>
      <w:r w:rsidR="006F5937" w:rsidRPr="006F5937">
        <w:rPr>
          <w:color w:val="000000"/>
        </w:rPr>
        <w:t xml:space="preserve">Agenția pentru Monitorizarea și Evaluarea Performanțelor Întreprinderilor Publice </w:t>
      </w:r>
      <w:r w:rsidR="006F5937">
        <w:rPr>
          <w:color w:val="000000"/>
        </w:rPr>
        <w:t>(</w:t>
      </w:r>
      <w:r>
        <w:rPr>
          <w:color w:val="000000"/>
        </w:rPr>
        <w:t>AMEPIP</w:t>
      </w:r>
      <w:r w:rsidR="006F5937">
        <w:rPr>
          <w:color w:val="000000"/>
        </w:rPr>
        <w:t>)</w:t>
      </w:r>
      <w:r>
        <w:rPr>
          <w:color w:val="000000"/>
        </w:rPr>
        <w:t xml:space="preserve"> pentru avizare din punct de vedere al încadrării în nivelul minim și aprobarea lor de către adunarea generală a acționarilor.</w:t>
      </w:r>
    </w:p>
    <w:p w:rsidR="00F30DF5" w:rsidRPr="00F30DF5" w:rsidRDefault="00F30DF5" w:rsidP="00F30DF5">
      <w:pPr>
        <w:spacing w:after="120" w:line="360" w:lineRule="auto"/>
        <w:jc w:val="both"/>
        <w:rPr>
          <w:color w:val="000000"/>
        </w:rPr>
      </w:pPr>
      <w:r>
        <w:rPr>
          <w:color w:val="000000"/>
        </w:rPr>
        <w:t>În ceea ce privește procedura de stabilire, negociere și aprobare a indicatorilor este detaliată în cadrul a</w:t>
      </w:r>
      <w:r w:rsidRPr="00F30DF5">
        <w:rPr>
          <w:color w:val="000000"/>
        </w:rPr>
        <w:t>rticolul</w:t>
      </w:r>
      <w:r>
        <w:rPr>
          <w:color w:val="000000"/>
        </w:rPr>
        <w:t>ui</w:t>
      </w:r>
      <w:r w:rsidRPr="00F30DF5">
        <w:rPr>
          <w:color w:val="000000"/>
        </w:rPr>
        <w:t xml:space="preserve"> 13</w:t>
      </w:r>
      <w:r>
        <w:rPr>
          <w:color w:val="000000"/>
        </w:rPr>
        <w:t xml:space="preserve"> din OUG 109/2011, după cum urmează:</w:t>
      </w:r>
    </w:p>
    <w:p w:rsidR="00F30DF5" w:rsidRPr="00F30DF5" w:rsidRDefault="00F30DF5" w:rsidP="00F30DF5">
      <w:pPr>
        <w:spacing w:after="120" w:line="360" w:lineRule="auto"/>
        <w:jc w:val="both"/>
        <w:rPr>
          <w:color w:val="000000"/>
        </w:rPr>
      </w:pPr>
      <w:r>
        <w:rPr>
          <w:color w:val="000000"/>
        </w:rPr>
        <w:t xml:space="preserve">Alin. (1): </w:t>
      </w:r>
      <w:r w:rsidRPr="00F30DF5">
        <w:rPr>
          <w:color w:val="000000"/>
        </w:rPr>
        <w:t>În termen de maximum 30 de zile de la data numirii sale, consiliul de administraţie elaborează o propunere pentru componenta de administrare a planului de administrare în vederea realizării indicatorilor de performanţă financiari şi nefinanciari.</w:t>
      </w:r>
    </w:p>
    <w:p w:rsidR="00F30DF5" w:rsidRPr="00F30DF5" w:rsidRDefault="00F30DF5" w:rsidP="00F30DF5">
      <w:pPr>
        <w:spacing w:after="120" w:line="360" w:lineRule="auto"/>
        <w:jc w:val="both"/>
        <w:rPr>
          <w:color w:val="000000"/>
        </w:rPr>
      </w:pPr>
      <w:r>
        <w:rPr>
          <w:color w:val="000000"/>
        </w:rPr>
        <w:t xml:space="preserve">Alin. (2): </w:t>
      </w:r>
      <w:r w:rsidRPr="00F30DF5">
        <w:rPr>
          <w:color w:val="000000"/>
        </w:rPr>
        <w:t>Componenta de administrare prevăzută la alin. (1) se completează cu componenta managerială elaborată conform prevederilor art. 22 alin. (1). Planul de administrare se supune analizei consiliului de administraţie al regiei autonome şi se aprobă prin decizie a acestuia.</w:t>
      </w:r>
    </w:p>
    <w:p w:rsidR="00F30DF5" w:rsidRPr="00F30DF5" w:rsidRDefault="00F30DF5" w:rsidP="00F30DF5">
      <w:pPr>
        <w:spacing w:after="120" w:line="360" w:lineRule="auto"/>
        <w:jc w:val="both"/>
        <w:rPr>
          <w:color w:val="000000"/>
        </w:rPr>
      </w:pPr>
      <w:r>
        <w:rPr>
          <w:color w:val="000000"/>
        </w:rPr>
        <w:t xml:space="preserve">Alin. (3): </w:t>
      </w:r>
      <w:r w:rsidRPr="00F30DF5">
        <w:rPr>
          <w:color w:val="000000"/>
        </w:rPr>
        <w:t>În termen de 5 zile de la aprobarea planului de administrare, conform art. 22 alin. (3), prin grija preşedintelui consiliului de administraţie, indicatorii-cheie de performanţă rezultaţi din planul de administrare se transmit la autoritatea publică tutelară, în vederea negocierii şi aprobării.</w:t>
      </w:r>
    </w:p>
    <w:p w:rsidR="00F30DF5" w:rsidRPr="004920CB" w:rsidRDefault="00F30DF5" w:rsidP="00F30DF5">
      <w:pPr>
        <w:spacing w:after="120" w:line="360" w:lineRule="auto"/>
        <w:jc w:val="both"/>
        <w:rPr>
          <w:b/>
          <w:color w:val="000000"/>
        </w:rPr>
      </w:pPr>
      <w:r w:rsidRPr="004920CB">
        <w:rPr>
          <w:b/>
          <w:color w:val="000000"/>
        </w:rPr>
        <w:t>Alin (3^1): indicatorii-cheie de performanţă aprobaţi de către autoritatea publică tutelară conform prevederilor alin. (3) se comunică AMEPIP în termen de 15 zile, în vederea avizării finale şi includerii în tabloul de bord.</w:t>
      </w:r>
    </w:p>
    <w:p w:rsidR="00F30DF5" w:rsidRPr="00F30DF5" w:rsidRDefault="00F30DF5" w:rsidP="00F30DF5">
      <w:pPr>
        <w:spacing w:after="120" w:line="360" w:lineRule="auto"/>
        <w:jc w:val="both"/>
        <w:rPr>
          <w:color w:val="000000"/>
        </w:rPr>
      </w:pPr>
      <w:r>
        <w:rPr>
          <w:color w:val="000000"/>
        </w:rPr>
        <w:t xml:space="preserve">Alin </w:t>
      </w:r>
      <w:r w:rsidRPr="00F30DF5">
        <w:rPr>
          <w:color w:val="000000"/>
        </w:rPr>
        <w:t>(4)</w:t>
      </w:r>
      <w:r>
        <w:rPr>
          <w:color w:val="000000"/>
        </w:rPr>
        <w:t xml:space="preserve">: </w:t>
      </w:r>
      <w:r w:rsidRPr="00F30DF5">
        <w:rPr>
          <w:color w:val="000000"/>
        </w:rPr>
        <w:t>Negocierea indicatorilor de performanţă financiari şi nefinanciari fundamentaţi pe baza planului de administrare şi scrisoarea de aşteptări se face în termen de 30 de zile de la data comunicării acestora autorităţii publice tutelare. Dacă la expirarea acestui termen negocierea nu este finalizată, termenul se poate prelungi o singură dată cu maximum 30 de zile, la solicitarea oricăreia dintre părţile implicate.</w:t>
      </w:r>
    </w:p>
    <w:p w:rsidR="00F30DF5" w:rsidRPr="00F30DF5" w:rsidRDefault="00F30DF5" w:rsidP="00F30DF5">
      <w:pPr>
        <w:spacing w:after="120" w:line="360" w:lineRule="auto"/>
        <w:jc w:val="both"/>
        <w:rPr>
          <w:color w:val="000000"/>
        </w:rPr>
      </w:pPr>
      <w:r>
        <w:rPr>
          <w:color w:val="000000"/>
        </w:rPr>
        <w:t xml:space="preserve">Alin </w:t>
      </w:r>
      <w:r w:rsidRPr="00F30DF5">
        <w:rPr>
          <w:color w:val="000000"/>
        </w:rPr>
        <w:t>(5)</w:t>
      </w:r>
      <w:r>
        <w:rPr>
          <w:color w:val="000000"/>
        </w:rPr>
        <w:t xml:space="preserve">: </w:t>
      </w:r>
      <w:r w:rsidRPr="00F30DF5">
        <w:rPr>
          <w:color w:val="000000"/>
        </w:rPr>
        <w:t>În cazul eşuării negocierii în cele două runde, membrii consiliului de administraţie sunt revocaţi, fără a fi îndreptăţiţi la plata unor daune-interese. În acest caz, rezultatul negocierii trebuie motivat şi publicat pe pagina de internet proprie a autorităţii publice tutelare şi a regiei autonome.</w:t>
      </w:r>
    </w:p>
    <w:p w:rsidR="001A6306" w:rsidRDefault="00F30DF5" w:rsidP="00F30DF5">
      <w:pPr>
        <w:spacing w:after="120" w:line="360" w:lineRule="auto"/>
        <w:jc w:val="both"/>
        <w:rPr>
          <w:color w:val="000000"/>
        </w:rPr>
      </w:pPr>
      <w:r>
        <w:rPr>
          <w:color w:val="000000"/>
        </w:rPr>
        <w:lastRenderedPageBreak/>
        <w:t xml:space="preserve">Alin </w:t>
      </w:r>
      <w:r w:rsidRPr="00F30DF5">
        <w:rPr>
          <w:color w:val="000000"/>
        </w:rPr>
        <w:t>(6)</w:t>
      </w:r>
      <w:r>
        <w:rPr>
          <w:color w:val="000000"/>
        </w:rPr>
        <w:t>:</w:t>
      </w:r>
      <w:r w:rsidRPr="00F30DF5">
        <w:rPr>
          <w:color w:val="000000"/>
        </w:rPr>
        <w:t xml:space="preserve"> Indicatorii-cheie de performanţă aprobaţi de autoritatea publică tutelară şi avizaţi de AMEPIP constituie elemente faţă de care se determină componenta variabilă a remuneraţiei pentru administratorii şi directorii regiei autonome.</w:t>
      </w:r>
    </w:p>
    <w:p w:rsidR="001432F8" w:rsidRDefault="00A04E72" w:rsidP="001432F8">
      <w:pPr>
        <w:spacing w:after="120" w:line="360" w:lineRule="auto"/>
        <w:jc w:val="both"/>
        <w:rPr>
          <w:color w:val="000000"/>
        </w:rPr>
      </w:pPr>
      <w:r>
        <w:rPr>
          <w:color w:val="000000"/>
        </w:rPr>
        <w:t xml:space="preserve">Trebuie notat faptul că, </w:t>
      </w:r>
      <w:r w:rsidR="001432F8">
        <w:rPr>
          <w:color w:val="000000"/>
        </w:rPr>
        <w:t>articolul</w:t>
      </w:r>
      <w:r w:rsidR="001432F8" w:rsidRPr="001432F8">
        <w:rPr>
          <w:color w:val="000000"/>
        </w:rPr>
        <w:t xml:space="preserve"> </w:t>
      </w:r>
      <w:r w:rsidR="001432F8">
        <w:rPr>
          <w:color w:val="000000"/>
        </w:rPr>
        <w:t>IV alin (5)</w:t>
      </w:r>
      <w:r w:rsidR="001432F8" w:rsidRPr="001432F8">
        <w:rPr>
          <w:color w:val="000000"/>
        </w:rPr>
        <w:t xml:space="preserve"> din </w:t>
      </w:r>
      <w:r w:rsidR="001432F8">
        <w:rPr>
          <w:color w:val="000000"/>
        </w:rPr>
        <w:t>Legea</w:t>
      </w:r>
      <w:r w:rsidR="001432F8" w:rsidRPr="001432F8">
        <w:rPr>
          <w:color w:val="000000"/>
        </w:rPr>
        <w:t xml:space="preserve"> nr. 187 din 28 iunie 2023, publicată în Monitorul Oficial </w:t>
      </w:r>
      <w:r w:rsidR="001432F8">
        <w:rPr>
          <w:color w:val="000000"/>
        </w:rPr>
        <w:t>nr. 594 din 29 iunie 2023</w:t>
      </w:r>
      <w:r w:rsidR="001A6306">
        <w:rPr>
          <w:color w:val="000000"/>
        </w:rPr>
        <w:t>, act normativ nou aprobat care modifică OUG 109/2011</w:t>
      </w:r>
      <w:r w:rsidR="00F30DF5">
        <w:rPr>
          <w:color w:val="000000"/>
        </w:rPr>
        <w:t xml:space="preserve"> și stabilește relația dintre autoritatea publică tutelară și AMEPIP</w:t>
      </w:r>
      <w:r w:rsidR="001A6306">
        <w:rPr>
          <w:color w:val="000000"/>
        </w:rPr>
        <w:t>,</w:t>
      </w:r>
      <w:r w:rsidR="001432F8">
        <w:rPr>
          <w:color w:val="000000"/>
        </w:rPr>
        <w:t xml:space="preserve"> prevede ca, î</w:t>
      </w:r>
      <w:r w:rsidR="001432F8" w:rsidRPr="001432F8">
        <w:rPr>
          <w:color w:val="000000"/>
        </w:rPr>
        <w:t>n termen de 60 de zile de la data intrării în vigoare a prezentei legi,</w:t>
      </w:r>
      <w:r w:rsidR="001432F8">
        <w:rPr>
          <w:color w:val="000000"/>
        </w:rPr>
        <w:t xml:space="preserve"> </w:t>
      </w:r>
      <w:r w:rsidR="001432F8" w:rsidRPr="001432F8">
        <w:rPr>
          <w:color w:val="000000"/>
        </w:rPr>
        <w:t>Guvernul aprobă, prin hotărâre, normele metodologice de aplicare a dispoziţiilor Ordonanţei de urgenţă a Guvernului nr. 109/2011, aprobată cu modificări şi completări prin Legea nr. 111/2016, cu modificările şi completările ulterioare, astfel cum a fost modificată şi completată prin prezenta lege, la propunerea Secretariatului General al Guvernului, după consultarea autorităţilor publice tutelare.</w:t>
      </w:r>
    </w:p>
    <w:p w:rsidR="001432F8" w:rsidRPr="001432F8" w:rsidRDefault="001432F8" w:rsidP="001432F8">
      <w:pPr>
        <w:spacing w:after="120" w:line="360" w:lineRule="auto"/>
        <w:jc w:val="both"/>
        <w:rPr>
          <w:color w:val="000000"/>
        </w:rPr>
      </w:pPr>
      <w:r>
        <w:rPr>
          <w:color w:val="000000"/>
        </w:rPr>
        <w:t>Totodată, conform a</w:t>
      </w:r>
      <w:r w:rsidRPr="001432F8">
        <w:rPr>
          <w:color w:val="000000"/>
        </w:rPr>
        <w:t>rticolul</w:t>
      </w:r>
      <w:r>
        <w:rPr>
          <w:color w:val="000000"/>
        </w:rPr>
        <w:t>ui</w:t>
      </w:r>
      <w:r w:rsidRPr="001432F8">
        <w:rPr>
          <w:color w:val="000000"/>
        </w:rPr>
        <w:t xml:space="preserve"> VII</w:t>
      </w:r>
      <w:r>
        <w:rPr>
          <w:color w:val="000000"/>
        </w:rPr>
        <w:t xml:space="preserve"> alin </w:t>
      </w:r>
      <w:r w:rsidRPr="001432F8">
        <w:rPr>
          <w:color w:val="000000"/>
        </w:rPr>
        <w:t>(1)</w:t>
      </w:r>
      <w:r>
        <w:rPr>
          <w:color w:val="000000"/>
        </w:rPr>
        <w:t>,</w:t>
      </w:r>
      <w:r w:rsidRPr="001432F8">
        <w:rPr>
          <w:color w:val="000000"/>
        </w:rPr>
        <w:t xml:space="preserve"> </w:t>
      </w:r>
      <w:r>
        <w:rPr>
          <w:color w:val="000000"/>
        </w:rPr>
        <w:t>î</w:t>
      </w:r>
      <w:r w:rsidRPr="001432F8">
        <w:rPr>
          <w:color w:val="000000"/>
        </w:rPr>
        <w:t xml:space="preserve">n termen de 9 luni de la intrarea în vigoare a </w:t>
      </w:r>
      <w:r>
        <w:rPr>
          <w:color w:val="000000"/>
        </w:rPr>
        <w:t xml:space="preserve">legii </w:t>
      </w:r>
      <w:r w:rsidRPr="001432F8">
        <w:rPr>
          <w:color w:val="000000"/>
        </w:rPr>
        <w:t>nr. 187 din 28 iunie 2023, autoritatea publică tutelară procedează la modificarea şi completarea, după caz, a contractelor de mandat aflate în derulare, prin încheierea de acte adiţionale, cu nivelul minim al indicatorilor-cheie de performanţă aprobaţi prin decizie de către AMEPIP.</w:t>
      </w:r>
      <w:r w:rsidR="00514335">
        <w:rPr>
          <w:color w:val="000000"/>
        </w:rPr>
        <w:t xml:space="preserve"> </w:t>
      </w:r>
      <w:r w:rsidR="006F5937" w:rsidRPr="006F5937">
        <w:rPr>
          <w:b/>
          <w:color w:val="000000"/>
        </w:rPr>
        <w:t xml:space="preserve">Având în vedere prevederile de mai sus și în lipsa unor dispoziții tranzitorii clare, procesul de </w:t>
      </w:r>
      <w:r w:rsidR="004920CB">
        <w:rPr>
          <w:b/>
          <w:color w:val="000000"/>
        </w:rPr>
        <w:t>avizare</w:t>
      </w:r>
      <w:r w:rsidR="006F5937" w:rsidRPr="006F5937">
        <w:rPr>
          <w:b/>
          <w:color w:val="000000"/>
        </w:rPr>
        <w:t xml:space="preserve"> a indicatorilor de performanță conform noilor prevederi ale OUG 109/2011</w:t>
      </w:r>
      <w:r w:rsidR="004920CB">
        <w:rPr>
          <w:b/>
          <w:color w:val="000000"/>
        </w:rPr>
        <w:t xml:space="preserve"> (</w:t>
      </w:r>
      <w:r w:rsidR="004920CB" w:rsidRPr="004920CB">
        <w:rPr>
          <w:b/>
          <w:color w:val="000000"/>
        </w:rPr>
        <w:t>Alin</w:t>
      </w:r>
      <w:r w:rsidR="004920CB">
        <w:rPr>
          <w:b/>
          <w:color w:val="000000"/>
        </w:rPr>
        <w:t>.</w:t>
      </w:r>
      <w:r w:rsidR="004920CB" w:rsidRPr="004920CB">
        <w:rPr>
          <w:b/>
          <w:color w:val="000000"/>
        </w:rPr>
        <w:t xml:space="preserve"> (3^1)</w:t>
      </w:r>
      <w:r w:rsidR="004920CB">
        <w:rPr>
          <w:b/>
          <w:color w:val="000000"/>
        </w:rPr>
        <w:t xml:space="preserve"> descris mai sus)</w:t>
      </w:r>
      <w:r w:rsidR="006F5937" w:rsidRPr="006F5937">
        <w:rPr>
          <w:b/>
          <w:color w:val="000000"/>
        </w:rPr>
        <w:t xml:space="preserve"> este </w:t>
      </w:r>
      <w:r w:rsidR="004920CB">
        <w:rPr>
          <w:b/>
          <w:color w:val="000000"/>
        </w:rPr>
        <w:t>posibil doar</w:t>
      </w:r>
      <w:r w:rsidR="006F5937" w:rsidRPr="006F5937">
        <w:rPr>
          <w:b/>
          <w:color w:val="000000"/>
        </w:rPr>
        <w:t xml:space="preserve"> </w:t>
      </w:r>
      <w:r w:rsidR="004920CB">
        <w:rPr>
          <w:b/>
          <w:color w:val="000000"/>
        </w:rPr>
        <w:t>după</w:t>
      </w:r>
      <w:r w:rsidR="006F5937" w:rsidRPr="006F5937">
        <w:rPr>
          <w:b/>
          <w:color w:val="000000"/>
        </w:rPr>
        <w:t xml:space="preserve"> finalizarea procesului de operaționalizare a AMEPIP.</w:t>
      </w:r>
    </w:p>
    <w:p w:rsidR="000C686C" w:rsidRPr="00D02FBC" w:rsidRDefault="000C686C" w:rsidP="000C686C">
      <w:pPr>
        <w:spacing w:after="120" w:line="360" w:lineRule="auto"/>
        <w:jc w:val="both"/>
        <w:rPr>
          <w:rFonts w:cstheme="minorHAnsi"/>
          <w:bCs/>
        </w:rPr>
      </w:pPr>
      <w:r w:rsidRPr="00D02FBC">
        <w:rPr>
          <w:rFonts w:cstheme="minorHAnsi"/>
          <w:bCs/>
        </w:rPr>
        <w:t xml:space="preserve">Prin Hotarârea </w:t>
      </w:r>
      <w:r w:rsidR="00D02FBC" w:rsidRPr="00D02FBC">
        <w:rPr>
          <w:color w:val="000000"/>
        </w:rPr>
        <w:t xml:space="preserve">Consiliului Local al Municipiului Timișoara </w:t>
      </w:r>
      <w:r w:rsidR="00D02FBC" w:rsidRPr="00D02FBC">
        <w:rPr>
          <w:rFonts w:cstheme="minorHAnsi"/>
          <w:bCs/>
        </w:rPr>
        <w:t>nr.</w:t>
      </w:r>
      <w:r w:rsidRPr="00D02FBC">
        <w:rPr>
          <w:rFonts w:cstheme="minorHAnsi"/>
          <w:bCs/>
        </w:rPr>
        <w:t xml:space="preserve"> 472 din 20.09.2022 privind mandatarea reprezentanților Municipiului Timișoara în Adunarea Generală a Acționarilor la Societatea de Transport Public Timișoara S.A. pentru numirea membrilor Consiliului de Administrație al societății</w:t>
      </w:r>
      <w:r w:rsidR="00D02FBC" w:rsidRPr="00D02FBC">
        <w:rPr>
          <w:rFonts w:cstheme="minorHAnsi"/>
          <w:bCs/>
        </w:rPr>
        <w:t>, au fost stabiliți indicatorii ce constituie baza pentru negocierea indicatorilor prevăzuți de cadrul legal existent.</w:t>
      </w:r>
    </w:p>
    <w:p w:rsidR="009E4F0E" w:rsidRPr="00D02FBC" w:rsidRDefault="00D02FBC" w:rsidP="009E4F0E">
      <w:pPr>
        <w:spacing w:after="120" w:line="360" w:lineRule="auto"/>
        <w:jc w:val="both"/>
        <w:rPr>
          <w:bCs/>
          <w:color w:val="000000"/>
        </w:rPr>
      </w:pPr>
      <w:r w:rsidRPr="00D02FBC">
        <w:rPr>
          <w:color w:val="000000"/>
        </w:rPr>
        <w:t>Astfel, c</w:t>
      </w:r>
      <w:r w:rsidR="009B470A" w:rsidRPr="00D02FBC">
        <w:rPr>
          <w:color w:val="000000"/>
        </w:rPr>
        <w:t xml:space="preserve">oroborând Ordonanța de Urgență a Guvernului nr. 109 din 30 noiembrie 2011 privind guvernanța corporativă a întreprinderilor publice cu prevederile </w:t>
      </w:r>
      <w:r w:rsidR="009E4F0E" w:rsidRPr="00D02FBC">
        <w:rPr>
          <w:color w:val="000000"/>
        </w:rPr>
        <w:t xml:space="preserve">Secțiunii a 5-a din cadrul </w:t>
      </w:r>
      <w:r w:rsidR="0090206E" w:rsidRPr="00D02FBC">
        <w:rPr>
          <w:bCs/>
          <w:color w:val="000000"/>
        </w:rPr>
        <w:t>Normelor metodologice din 28 septembrie 2016</w:t>
      </w:r>
      <w:r w:rsidR="0090206E" w:rsidRPr="00D02FBC">
        <w:rPr>
          <w:b/>
          <w:bCs/>
          <w:color w:val="000000"/>
        </w:rPr>
        <w:t xml:space="preserve"> </w:t>
      </w:r>
      <w:r w:rsidR="009E4F0E" w:rsidRPr="00D02FBC">
        <w:rPr>
          <w:color w:val="000000"/>
        </w:rPr>
        <w:t xml:space="preserve">pentru stabilirea indicatorilor de performanţă financiari şi nefinanciari şi a componentei variabile a remuneraţiei membrilor consiliului de administraţie sau, după caz, de supraveghere, precum şi a directorilor, respectiv a membrilor directoratului (Anexa 2), norme </w:t>
      </w:r>
      <w:r w:rsidR="0090206E" w:rsidRPr="00D02FBC">
        <w:rPr>
          <w:bCs/>
          <w:color w:val="000000"/>
        </w:rPr>
        <w:t>aprobate de Hotărârea Guvernului nr. 722 din 28 septembrie 2016</w:t>
      </w:r>
      <w:r w:rsidR="009E4F0E" w:rsidRPr="00D02FBC">
        <w:rPr>
          <w:bCs/>
          <w:color w:val="000000"/>
        </w:rPr>
        <w:t xml:space="preserve">, indicatorii-cheie de performanţă, ţintele şi gradul de îndeplinire a ICP pot fi modificaţi, </w:t>
      </w:r>
      <w:r w:rsidR="009E4F0E" w:rsidRPr="00D02FBC">
        <w:rPr>
          <w:bCs/>
          <w:color w:val="000000"/>
        </w:rPr>
        <w:lastRenderedPageBreak/>
        <w:t>după caz, din alte cauze neimputabile administratorilor şi care nu afectează realizarea obiectivelor şi a ţintelor stabilite pentru întregul mandat.</w:t>
      </w:r>
    </w:p>
    <w:p w:rsidR="009E4F0E" w:rsidRPr="00D02FBC" w:rsidRDefault="009E4F0E" w:rsidP="009E4F0E">
      <w:pPr>
        <w:spacing w:after="120" w:line="360" w:lineRule="auto"/>
        <w:jc w:val="both"/>
        <w:rPr>
          <w:bCs/>
          <w:color w:val="000000"/>
        </w:rPr>
      </w:pPr>
      <w:r w:rsidRPr="00D02FBC">
        <w:rPr>
          <w:bCs/>
          <w:color w:val="000000"/>
        </w:rPr>
        <w:t>Articolul 28 și 29 din normele indicate mai sus detaliază situația în care acești indicatori se pot modifica, astfel:</w:t>
      </w:r>
    </w:p>
    <w:p w:rsidR="009E4F0E" w:rsidRPr="00D02FBC" w:rsidRDefault="009E4F0E" w:rsidP="000C686C">
      <w:pPr>
        <w:pStyle w:val="ListParagraph"/>
        <w:numPr>
          <w:ilvl w:val="0"/>
          <w:numId w:val="46"/>
        </w:numPr>
        <w:spacing w:after="120" w:line="360" w:lineRule="auto"/>
        <w:jc w:val="both"/>
        <w:rPr>
          <w:rFonts w:ascii="Times New Roman" w:hAnsi="Times New Roman" w:cs="Times New Roman"/>
          <w:bCs/>
          <w:color w:val="000000"/>
          <w:sz w:val="24"/>
          <w:szCs w:val="24"/>
        </w:rPr>
      </w:pPr>
      <w:r w:rsidRPr="00D02FBC">
        <w:rPr>
          <w:rFonts w:ascii="Times New Roman" w:hAnsi="Times New Roman" w:cs="Times New Roman"/>
          <w:bCs/>
          <w:color w:val="000000"/>
          <w:sz w:val="24"/>
          <w:szCs w:val="24"/>
        </w:rPr>
        <w:t xml:space="preserve">Iniţiativa modificării ICP şi a componentei variabile poate aparţine atât consiliului, </w:t>
      </w:r>
      <w:r w:rsidRPr="00D02FBC">
        <w:rPr>
          <w:rFonts w:ascii="Times New Roman" w:hAnsi="Times New Roman" w:cs="Times New Roman"/>
          <w:b/>
          <w:bCs/>
          <w:color w:val="000000"/>
          <w:sz w:val="24"/>
          <w:szCs w:val="24"/>
        </w:rPr>
        <w:t>cât şi autorităţii publice tutelare</w:t>
      </w:r>
      <w:r w:rsidRPr="00D02FBC">
        <w:rPr>
          <w:rFonts w:ascii="Times New Roman" w:hAnsi="Times New Roman" w:cs="Times New Roman"/>
          <w:bCs/>
          <w:color w:val="000000"/>
          <w:sz w:val="24"/>
          <w:szCs w:val="24"/>
        </w:rPr>
        <w:t>.</w:t>
      </w:r>
    </w:p>
    <w:p w:rsidR="009E4F0E" w:rsidRPr="00D02FBC" w:rsidRDefault="009E4F0E" w:rsidP="009E4F0E">
      <w:pPr>
        <w:spacing w:after="120" w:line="360" w:lineRule="auto"/>
        <w:jc w:val="both"/>
        <w:rPr>
          <w:bCs/>
          <w:color w:val="000000"/>
        </w:rPr>
      </w:pPr>
      <w:r w:rsidRPr="00D02FBC">
        <w:rPr>
          <w:bCs/>
          <w:color w:val="000000"/>
        </w:rPr>
        <w:t>Consiliul transmite recomandările pentru schimbarea indicatorilor de performanţă folosiţi ca bază pentru stabilirea componentei variabile a remuneraţiei, acţionarului-stat, prin autoritatea publică tutelară, şi celorlalţi acţionari, dacă este cazul.</w:t>
      </w:r>
    </w:p>
    <w:p w:rsidR="009E4F0E" w:rsidRPr="00D02FBC" w:rsidRDefault="009E4F0E" w:rsidP="009E4F0E">
      <w:pPr>
        <w:spacing w:after="120" w:line="360" w:lineRule="auto"/>
        <w:jc w:val="both"/>
        <w:rPr>
          <w:bCs/>
          <w:color w:val="000000"/>
        </w:rPr>
      </w:pPr>
      <w:r w:rsidRPr="00D02FBC">
        <w:rPr>
          <w:bCs/>
          <w:color w:val="000000"/>
        </w:rPr>
        <w:t>În cazul iniţierii de către autoritatea publică tutelară, aceasta transmite propunerile sale către consiliu şi, după caz, celorlalţi acţionari.</w:t>
      </w:r>
    </w:p>
    <w:p w:rsidR="009E4F0E" w:rsidRPr="00D02FBC" w:rsidRDefault="009E4F0E" w:rsidP="009E4F0E">
      <w:pPr>
        <w:spacing w:after="120" w:line="360" w:lineRule="auto"/>
        <w:jc w:val="both"/>
        <w:rPr>
          <w:bCs/>
          <w:color w:val="000000"/>
        </w:rPr>
      </w:pPr>
      <w:r w:rsidRPr="00D02FBC">
        <w:rPr>
          <w:bCs/>
          <w:color w:val="000000"/>
        </w:rPr>
        <w:t>Totodată, articolul 30 din normele indicate mai sus stipulează faptul că fiecare parte implicată decide dacă schimbările recomandate ale indicatorilor de performanţă folosiţi ca bază pentru stabilirea componentei variabile a remuneraţiei administratorilor ar îmbunătăţi eficacitatea şi eficienţa întreprinderii. În cazul în care se decide că schimbările prevăzute la alin. (1) ar îmbunătăţi eficacitatea şi eficienţa întreprinderii, se iniţiază procedura convocării adunării generale a acţionarilor în cazul societăţilor, pentru aprobarea noilor niveluri ale indicatorilor supuşi modificării. De notat faptul că indicatorii aprobaţi de adunarea generală sau autoritatea publică tutelară, după caz, se vor concretiza într-un act adiţional la contractul de mandat.</w:t>
      </w:r>
    </w:p>
    <w:p w:rsidR="002D4843" w:rsidRDefault="009E4F0E" w:rsidP="002D4843">
      <w:pPr>
        <w:spacing w:after="120" w:line="360" w:lineRule="auto"/>
        <w:jc w:val="both"/>
        <w:rPr>
          <w:color w:val="000000"/>
        </w:rPr>
      </w:pPr>
      <w:r w:rsidRPr="00D02FBC">
        <w:rPr>
          <w:color w:val="000000"/>
        </w:rPr>
        <w:t xml:space="preserve">Revenind la Ordonanța de Urgență a Guvernului nr. 109 din 30 noiembrie 2011 privind guvernanța corporativă a întreprinderilor publice, conform </w:t>
      </w:r>
      <w:r w:rsidR="000037C7">
        <w:rPr>
          <w:color w:val="000000"/>
        </w:rPr>
        <w:t>articolului 3, a</w:t>
      </w:r>
      <w:r w:rsidR="00700071" w:rsidRPr="00D02FBC">
        <w:rPr>
          <w:color w:val="000000"/>
        </w:rPr>
        <w:t>utoritatea publică tutelară are printre competențe</w:t>
      </w:r>
      <w:r w:rsidR="002D4843">
        <w:rPr>
          <w:color w:val="000000"/>
        </w:rPr>
        <w:t xml:space="preserve"> </w:t>
      </w:r>
      <w:r w:rsidR="002D4843" w:rsidRPr="002D4843">
        <w:rPr>
          <w:i/>
          <w:color w:val="000000"/>
        </w:rPr>
        <w:t xml:space="preserve">negocierea indicatorilor-cheie de performanţă ai administratorilor, transmiterea acestora către AMEPIP pentru avizare din punct de vedere al încadrării în nivelul minim şi aprobarea lor de către adunarea generală a acţionarilor, </w:t>
      </w:r>
      <w:r w:rsidR="002D4843" w:rsidRPr="002524C3">
        <w:rPr>
          <w:color w:val="000000"/>
        </w:rPr>
        <w:t>precum și</w:t>
      </w:r>
      <w:r w:rsidR="002D4843" w:rsidRPr="002D4843">
        <w:rPr>
          <w:i/>
          <w:color w:val="000000"/>
        </w:rPr>
        <w:t xml:space="preserve"> încheierea contractelor de mandat cu administratorii întreprinderii publice, direct sau prin adunarea generală a acţionarilor/asociaţilor, după caz, şi transmiterea acestora către AMEPIP.</w:t>
      </w:r>
    </w:p>
    <w:p w:rsidR="002D4843" w:rsidRDefault="002D4843" w:rsidP="003C117D">
      <w:pPr>
        <w:spacing w:after="120" w:line="360" w:lineRule="auto"/>
        <w:jc w:val="both"/>
        <w:rPr>
          <w:color w:val="000000"/>
        </w:rPr>
      </w:pPr>
    </w:p>
    <w:p w:rsidR="002D4843" w:rsidRDefault="002D4843" w:rsidP="003C117D">
      <w:pPr>
        <w:spacing w:after="120" w:line="360" w:lineRule="auto"/>
        <w:jc w:val="both"/>
        <w:rPr>
          <w:color w:val="000000"/>
        </w:rPr>
      </w:pPr>
    </w:p>
    <w:p w:rsidR="002D4843" w:rsidRDefault="002D4843" w:rsidP="003C117D">
      <w:pPr>
        <w:spacing w:after="120" w:line="360" w:lineRule="auto"/>
        <w:jc w:val="both"/>
        <w:rPr>
          <w:color w:val="000000"/>
        </w:rPr>
      </w:pPr>
    </w:p>
    <w:p w:rsidR="00982E45" w:rsidRPr="00D02FBC" w:rsidRDefault="002524C3" w:rsidP="003C117D">
      <w:pPr>
        <w:spacing w:after="120" w:line="360" w:lineRule="auto"/>
        <w:jc w:val="both"/>
        <w:rPr>
          <w:bCs/>
        </w:rPr>
      </w:pPr>
      <w:r>
        <w:rPr>
          <w:color w:val="000000"/>
        </w:rPr>
        <w:lastRenderedPageBreak/>
        <w:t xml:space="preserve">Astfel, au fost stabiliți </w:t>
      </w:r>
      <w:r w:rsidRPr="002524C3">
        <w:rPr>
          <w:color w:val="000000"/>
        </w:rPr>
        <w:t xml:space="preserve">indicatorilor-cheie de performanţă </w:t>
      </w:r>
      <w:r w:rsidR="0095715C" w:rsidRPr="00D02FBC">
        <w:rPr>
          <w:color w:val="000000"/>
        </w:rPr>
        <w:t xml:space="preserve">ce sunt </w:t>
      </w:r>
      <w:r w:rsidR="00982E45" w:rsidRPr="00D02FBC">
        <w:rPr>
          <w:color w:val="000000"/>
        </w:rPr>
        <w:t xml:space="preserve">detaliați în anexa la </w:t>
      </w:r>
      <w:r w:rsidR="0095715C" w:rsidRPr="00D02FBC">
        <w:rPr>
          <w:color w:val="000000"/>
        </w:rPr>
        <w:t xml:space="preserve">Proiectul de Hotărâre a Consiliului Local </w:t>
      </w:r>
      <w:r w:rsidR="0095715C" w:rsidRPr="00D02FBC">
        <w:rPr>
          <w:bCs/>
        </w:rPr>
        <w:t>privind mandatarea reprezentanților Municipiului Timișoara în Adunarea Generală a Acționarilor la Societatea de Transport Public Timișoara S.A. pentru aprobarea indicatorilor de performanță financiari și nefinanciari, precum și a indicatorilor cheie de performanță ai Consiliului de Administrație la Societatea de Transport Public Timișoara S.A.</w:t>
      </w:r>
    </w:p>
    <w:p w:rsidR="008316B3" w:rsidRPr="00D02FBC" w:rsidRDefault="008316B3" w:rsidP="003C117D">
      <w:pPr>
        <w:pStyle w:val="sartttl"/>
        <w:spacing w:after="120" w:line="360" w:lineRule="auto"/>
        <w:jc w:val="both"/>
        <w:rPr>
          <w:rFonts w:ascii="Times New Roman" w:hAnsi="Times New Roman"/>
          <w:b w:val="0"/>
          <w:i/>
          <w:color w:val="auto"/>
          <w:sz w:val="24"/>
          <w:szCs w:val="24"/>
          <w:shd w:val="clear" w:color="auto" w:fill="FFFFFF"/>
        </w:rPr>
      </w:pPr>
      <w:r w:rsidRPr="00D02FBC">
        <w:rPr>
          <w:rFonts w:ascii="Times New Roman" w:hAnsi="Times New Roman"/>
          <w:b w:val="0"/>
          <w:color w:val="auto"/>
          <w:sz w:val="24"/>
          <w:szCs w:val="24"/>
          <w:shd w:val="clear" w:color="auto" w:fill="FFFFFF"/>
        </w:rPr>
        <w:t xml:space="preserve">În conformitate cu prevederile art. 125 din Legea nr. 31/1990 privind societățile, republicată, cu modificările și completările ulterioare, </w:t>
      </w:r>
      <w:r w:rsidRPr="00D02FBC">
        <w:rPr>
          <w:rFonts w:ascii="Times New Roman" w:hAnsi="Times New Roman"/>
          <w:b w:val="0"/>
          <w:i/>
          <w:color w:val="auto"/>
          <w:sz w:val="24"/>
          <w:szCs w:val="24"/>
          <w:shd w:val="clear" w:color="auto" w:fill="FFFFFF"/>
        </w:rPr>
        <w:t>a</w:t>
      </w:r>
      <w:r w:rsidRPr="00D02FBC">
        <w:rPr>
          <w:rStyle w:val="salnbdy"/>
          <w:rFonts w:ascii="Times New Roman" w:eastAsia="Times New Roman" w:hAnsi="Times New Roman"/>
          <w:b w:val="0"/>
          <w:i/>
          <w:color w:val="auto"/>
          <w:sz w:val="24"/>
          <w:szCs w:val="24"/>
        </w:rPr>
        <w:t>cţionarii pot participa şi vota în adunarea generală prin reprezentare, în baza unei împuterniciri acordate pentru respectiva adunare generală.</w:t>
      </w:r>
    </w:p>
    <w:p w:rsidR="008316B3" w:rsidRPr="00D02FBC" w:rsidRDefault="008316B3" w:rsidP="003C117D">
      <w:pPr>
        <w:pStyle w:val="spar"/>
        <w:spacing w:after="120" w:line="360" w:lineRule="auto"/>
        <w:ind w:left="0"/>
        <w:jc w:val="both"/>
        <w:rPr>
          <w:color w:val="000000"/>
          <w:shd w:val="clear" w:color="auto" w:fill="FFFFFF"/>
        </w:rPr>
      </w:pPr>
      <w:r w:rsidRPr="00D02FBC">
        <w:rPr>
          <w:bCs/>
        </w:rPr>
        <w:t xml:space="preserve">În temeiul art. 129 alin. (2) lit. a)  din Ordonanța de Urgență a Guvernului nr. 57/2019 privind Codul administrativ, </w:t>
      </w:r>
      <w:r w:rsidRPr="00D02FBC">
        <w:rPr>
          <w:rFonts w:eastAsia="Calibri"/>
        </w:rPr>
        <w:t xml:space="preserve">consiliul local exercită </w:t>
      </w:r>
      <w:r w:rsidRPr="00D02FBC">
        <w:rPr>
          <w:rFonts w:eastAsia="Calibri"/>
          <w:i/>
        </w:rPr>
        <w:t>atribuţii privind organizarea şi funcţionarea aparatului de specialitate al primarului, ale instituţiilor publice de interes local şi ale societăţilor şi regiilor autonome de interes local.</w:t>
      </w:r>
    </w:p>
    <w:p w:rsidR="008316B3" w:rsidRPr="00D02FBC" w:rsidRDefault="008316B3" w:rsidP="003C117D">
      <w:pPr>
        <w:autoSpaceDE w:val="0"/>
        <w:autoSpaceDN w:val="0"/>
        <w:adjustRightInd w:val="0"/>
        <w:spacing w:after="120" w:line="360" w:lineRule="auto"/>
        <w:jc w:val="both"/>
        <w:rPr>
          <w:bCs/>
          <w:color w:val="000000"/>
        </w:rPr>
      </w:pPr>
      <w:r w:rsidRPr="00D02FBC">
        <w:rPr>
          <w:rFonts w:eastAsia="Calibri"/>
        </w:rPr>
        <w:t xml:space="preserve">Potrivit prevederilor art. 129 alin (3) lit. d) din </w:t>
      </w:r>
      <w:r w:rsidRPr="00D02FBC">
        <w:rPr>
          <w:bCs/>
        </w:rPr>
        <w:t>Ordonanța de Urgență a Guvernului nr. 57/2019 privind Codul administrativ,</w:t>
      </w:r>
      <w:r w:rsidRPr="00D02FBC">
        <w:rPr>
          <w:rFonts w:eastAsia="Calibri"/>
        </w:rPr>
        <w:t xml:space="preserve"> consiliul local </w:t>
      </w:r>
      <w:r w:rsidRPr="00D02FBC">
        <w:rPr>
          <w:rFonts w:eastAsia="Calibri"/>
          <w:i/>
        </w:rPr>
        <w:t>exercită, în numele unităţii administrativ-teritoriale, toate drepturile şi obligaţiile corespunzătoare participaţiilor deţinute la societăţi sau regii autonome, în condiţiile legii.</w:t>
      </w:r>
    </w:p>
    <w:p w:rsidR="008316B3" w:rsidRPr="00D02FBC" w:rsidRDefault="008316B3" w:rsidP="003C117D">
      <w:pPr>
        <w:spacing w:after="120" w:line="360" w:lineRule="auto"/>
        <w:jc w:val="both"/>
      </w:pPr>
      <w:r w:rsidRPr="00D02FBC">
        <w:t>Având în vedere prevederile legale expuse în prezentul raport, apreciem că</w:t>
      </w:r>
      <w:r w:rsidRPr="00D02FBC">
        <w:rPr>
          <w:b/>
        </w:rPr>
        <w:t xml:space="preserve"> </w:t>
      </w:r>
      <w:r w:rsidRPr="00D02FBC">
        <w:t xml:space="preserve">Proiectul de hotărâre </w:t>
      </w:r>
      <w:r w:rsidR="003C117D" w:rsidRPr="00D02FBC">
        <w:rPr>
          <w:bCs/>
        </w:rPr>
        <w:t>privind mandatarea reprezentanților Municipiului Timișoara în Adunarea Generală a Acționarilor la Societatea de Transport Public Timișoara S.A. pentru aprobarea indicatorilor de performanță financiari și nefinanciari, precum și a indicatorilor cheie de performanță ai Consiliului de Administrație la Societatea de Transport Public Timișoara S.A.</w:t>
      </w:r>
      <w:r w:rsidRPr="00D02FBC">
        <w:t xml:space="preserve"> îndeplinește condițiile pentru a fi supus dezbaterii și aprobării plenului consiliului local. </w:t>
      </w:r>
    </w:p>
    <w:p w:rsidR="00F22F00" w:rsidRPr="00D02FBC" w:rsidRDefault="007F27FF" w:rsidP="003C117D">
      <w:pPr>
        <w:spacing w:after="120" w:line="360" w:lineRule="auto"/>
        <w:jc w:val="both"/>
      </w:pPr>
      <w:r w:rsidRPr="00D02FBC">
        <w:t xml:space="preserve">    </w:t>
      </w:r>
    </w:p>
    <w:p w:rsidR="007F27FF" w:rsidRPr="00D02FBC" w:rsidRDefault="007F27FF" w:rsidP="003C117D">
      <w:pPr>
        <w:spacing w:after="120" w:line="360" w:lineRule="auto"/>
        <w:jc w:val="both"/>
      </w:pPr>
      <w:r w:rsidRPr="00D02FBC">
        <w:t>Director Economic,</w:t>
      </w:r>
    </w:p>
    <w:p w:rsidR="007F27FF" w:rsidRPr="00D02FBC" w:rsidRDefault="007F27FF" w:rsidP="003C117D">
      <w:pPr>
        <w:spacing w:after="120" w:line="360" w:lineRule="auto"/>
        <w:jc w:val="both"/>
      </w:pPr>
      <w:r w:rsidRPr="00D02FBC">
        <w:t xml:space="preserve">       Steliana Stanciu</w:t>
      </w:r>
    </w:p>
    <w:p w:rsidR="007F27FF" w:rsidRPr="00D02FBC" w:rsidRDefault="007F27FF" w:rsidP="003C117D">
      <w:pPr>
        <w:spacing w:after="120" w:line="360" w:lineRule="auto"/>
        <w:ind w:left="6480"/>
      </w:pPr>
      <w:r w:rsidRPr="00D02FBC">
        <w:t xml:space="preserve">   Consilier BGCMS</w:t>
      </w:r>
      <w:r w:rsidR="00CB1DE2" w:rsidRPr="00D02FBC">
        <w:t>ISP</w:t>
      </w:r>
      <w:r w:rsidRPr="00D02FBC">
        <w:t>,</w:t>
      </w:r>
    </w:p>
    <w:p w:rsidR="007F27FF" w:rsidRPr="00D02FBC" w:rsidRDefault="007F27FF" w:rsidP="003C117D">
      <w:pPr>
        <w:spacing w:after="120" w:line="360" w:lineRule="auto"/>
        <w:ind w:left="5040" w:firstLine="720"/>
      </w:pPr>
      <w:r w:rsidRPr="00D02FBC">
        <w:t xml:space="preserve">                    </w:t>
      </w:r>
      <w:r w:rsidR="006B2F4A" w:rsidRPr="00D02FBC">
        <w:t>Sașa-Sorin Lovin</w:t>
      </w:r>
    </w:p>
    <w:sectPr w:rsidR="007F27FF" w:rsidRPr="00D02FBC" w:rsidSect="004A6260">
      <w:footerReference w:type="default" r:id="rId9"/>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094F" w:rsidRDefault="0030094F" w:rsidP="00851794">
      <w:r>
        <w:separator/>
      </w:r>
    </w:p>
  </w:endnote>
  <w:endnote w:type="continuationSeparator" w:id="0">
    <w:p w:rsidR="0030094F" w:rsidRDefault="0030094F"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6CC" w:rsidRDefault="002F0676" w:rsidP="002F0676">
    <w:pPr>
      <w:pStyle w:val="Footer"/>
    </w:pPr>
    <w:r w:rsidRPr="002F0676">
      <w:t xml:space="preserve"> </w:t>
    </w:r>
    <w:r>
      <w:t xml:space="preserve">                                                 </w:t>
    </w:r>
    <w:r w:rsidRPr="00CA3126">
      <w:rPr>
        <w:noProof/>
      </w:rPr>
      <w:drawing>
        <wp:inline distT="0" distB="0" distL="0" distR="0">
          <wp:extent cx="1499649" cy="851473"/>
          <wp:effectExtent l="19050" t="0" r="5301" b="0"/>
          <wp:docPr id="6"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12988" cy="859047"/>
                  </a:xfrm>
                  <a:prstGeom prst="rect">
                    <a:avLst/>
                  </a:prstGeom>
                  <a:noFill/>
                  <a:ln w="9525">
                    <a:noFill/>
                    <a:miter lim="800000"/>
                    <a:headEnd/>
                    <a:tailEnd/>
                  </a:ln>
                </pic:spPr>
              </pic:pic>
            </a:graphicData>
          </a:graphic>
        </wp:inline>
      </w:drawing>
    </w:r>
    <w:r>
      <w:t xml:space="preserve">                           Cod FO53-01,</w:t>
    </w:r>
    <w:r w:rsidRPr="004157E1">
      <w:t>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094F" w:rsidRDefault="0030094F" w:rsidP="00851794">
      <w:r>
        <w:separator/>
      </w:r>
    </w:p>
  </w:footnote>
  <w:footnote w:type="continuationSeparator" w:id="0">
    <w:p w:rsidR="0030094F" w:rsidRDefault="0030094F"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2" type="#_x0000_t75" style="width:11.25pt;height:11.25pt" o:bullet="t">
        <v:imagedata r:id="rId1" o:title="mso8018"/>
      </v:shape>
    </w:pict>
  </w:numPicBullet>
  <w:abstractNum w:abstractNumId="0">
    <w:nsid w:val="0164772D"/>
    <w:multiLevelType w:val="hybridMultilevel"/>
    <w:tmpl w:val="AF70D68C"/>
    <w:lvl w:ilvl="0" w:tplc="0418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08265C84"/>
    <w:multiLevelType w:val="hybridMultilevel"/>
    <w:tmpl w:val="67B64360"/>
    <w:lvl w:ilvl="0" w:tplc="C0AC1E72">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12481A9B"/>
    <w:multiLevelType w:val="hybridMultilevel"/>
    <w:tmpl w:val="7DB8705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17A6643C"/>
    <w:multiLevelType w:val="hybridMultilevel"/>
    <w:tmpl w:val="29062706"/>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8C5686E"/>
    <w:multiLevelType w:val="hybridMultilevel"/>
    <w:tmpl w:val="38CC78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11">
    <w:nsid w:val="1DBA2982"/>
    <w:multiLevelType w:val="hybridMultilevel"/>
    <w:tmpl w:val="3F7CFE3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
    <w:nsid w:val="2352347A"/>
    <w:multiLevelType w:val="hybridMultilevel"/>
    <w:tmpl w:val="1616CC62"/>
    <w:lvl w:ilvl="0" w:tplc="FB80E4C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4">
    <w:nsid w:val="28E7614E"/>
    <w:multiLevelType w:val="hybridMultilevel"/>
    <w:tmpl w:val="565C8ADE"/>
    <w:lvl w:ilvl="0" w:tplc="04180017">
      <w:start w:val="1"/>
      <w:numFmt w:val="lowerLetter"/>
      <w:lvlText w:val="%1)"/>
      <w:lvlJc w:val="left"/>
      <w:pPr>
        <w:ind w:left="1077" w:hanging="360"/>
      </w:pPr>
    </w:lvl>
    <w:lvl w:ilvl="1" w:tplc="04180019" w:tentative="1">
      <w:start w:val="1"/>
      <w:numFmt w:val="lowerLetter"/>
      <w:lvlText w:val="%2."/>
      <w:lvlJc w:val="left"/>
      <w:pPr>
        <w:ind w:left="1797" w:hanging="360"/>
      </w:pPr>
    </w:lvl>
    <w:lvl w:ilvl="2" w:tplc="0418001B" w:tentative="1">
      <w:start w:val="1"/>
      <w:numFmt w:val="lowerRoman"/>
      <w:lvlText w:val="%3."/>
      <w:lvlJc w:val="right"/>
      <w:pPr>
        <w:ind w:left="2517" w:hanging="180"/>
      </w:pPr>
    </w:lvl>
    <w:lvl w:ilvl="3" w:tplc="0418000F" w:tentative="1">
      <w:start w:val="1"/>
      <w:numFmt w:val="decimal"/>
      <w:lvlText w:val="%4."/>
      <w:lvlJc w:val="left"/>
      <w:pPr>
        <w:ind w:left="3237" w:hanging="360"/>
      </w:pPr>
    </w:lvl>
    <w:lvl w:ilvl="4" w:tplc="04180019" w:tentative="1">
      <w:start w:val="1"/>
      <w:numFmt w:val="lowerLetter"/>
      <w:lvlText w:val="%5."/>
      <w:lvlJc w:val="left"/>
      <w:pPr>
        <w:ind w:left="3957" w:hanging="360"/>
      </w:pPr>
    </w:lvl>
    <w:lvl w:ilvl="5" w:tplc="0418001B" w:tentative="1">
      <w:start w:val="1"/>
      <w:numFmt w:val="lowerRoman"/>
      <w:lvlText w:val="%6."/>
      <w:lvlJc w:val="right"/>
      <w:pPr>
        <w:ind w:left="4677" w:hanging="180"/>
      </w:pPr>
    </w:lvl>
    <w:lvl w:ilvl="6" w:tplc="0418000F" w:tentative="1">
      <w:start w:val="1"/>
      <w:numFmt w:val="decimal"/>
      <w:lvlText w:val="%7."/>
      <w:lvlJc w:val="left"/>
      <w:pPr>
        <w:ind w:left="5397" w:hanging="360"/>
      </w:pPr>
    </w:lvl>
    <w:lvl w:ilvl="7" w:tplc="04180019" w:tentative="1">
      <w:start w:val="1"/>
      <w:numFmt w:val="lowerLetter"/>
      <w:lvlText w:val="%8."/>
      <w:lvlJc w:val="left"/>
      <w:pPr>
        <w:ind w:left="6117" w:hanging="360"/>
      </w:pPr>
    </w:lvl>
    <w:lvl w:ilvl="8" w:tplc="0418001B" w:tentative="1">
      <w:start w:val="1"/>
      <w:numFmt w:val="lowerRoman"/>
      <w:lvlText w:val="%9."/>
      <w:lvlJc w:val="right"/>
      <w:pPr>
        <w:ind w:left="6837" w:hanging="180"/>
      </w:pPr>
    </w:lvl>
  </w:abstractNum>
  <w:abstractNum w:abstractNumId="15">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30487E82"/>
    <w:multiLevelType w:val="hybridMultilevel"/>
    <w:tmpl w:val="D7E4EEEE"/>
    <w:lvl w:ilvl="0" w:tplc="04180011">
      <w:start w:val="1"/>
      <w:numFmt w:val="decimal"/>
      <w:lvlText w:val="%1)"/>
      <w:lvlJc w:val="left"/>
      <w:pPr>
        <w:ind w:left="720" w:hanging="360"/>
      </w:pPr>
    </w:lvl>
    <w:lvl w:ilvl="1" w:tplc="A23AFB78">
      <w:start w:val="1"/>
      <w:numFmt w:val="decimal"/>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32285348"/>
    <w:multiLevelType w:val="hybridMultilevel"/>
    <w:tmpl w:val="7D9A0A7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378A7335"/>
    <w:multiLevelType w:val="hybridMultilevel"/>
    <w:tmpl w:val="F3221DBE"/>
    <w:lvl w:ilvl="0" w:tplc="7AE62F6E">
      <w:start w:val="1"/>
      <w:numFmt w:val="decimal"/>
      <w:lvlText w:val="%1."/>
      <w:lvlJc w:val="left"/>
      <w:pPr>
        <w:ind w:left="644" w:hanging="360"/>
      </w:pPr>
      <w:rPr>
        <w:rFonts w:ascii="Times New Roman" w:eastAsiaTheme="minorHAnsi" w:hAnsi="Times New Roman" w:cs="Times New Roman"/>
        <w:b/>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0">
    <w:nsid w:val="37FA3F84"/>
    <w:multiLevelType w:val="hybridMultilevel"/>
    <w:tmpl w:val="D42E720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44E54D0D"/>
    <w:multiLevelType w:val="hybridMultilevel"/>
    <w:tmpl w:val="623AC9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45227B53"/>
    <w:multiLevelType w:val="hybridMultilevel"/>
    <w:tmpl w:val="CF9288E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45517A5C"/>
    <w:multiLevelType w:val="hybridMultilevel"/>
    <w:tmpl w:val="F8B8431C"/>
    <w:lvl w:ilvl="0" w:tplc="CDA60B32">
      <w:numFmt w:val="bullet"/>
      <w:lvlText w:val="-"/>
      <w:lvlJc w:val="left"/>
      <w:pPr>
        <w:ind w:left="1068" w:hanging="360"/>
      </w:pPr>
      <w:rPr>
        <w:rFonts w:ascii="Times New Roman" w:eastAsiaTheme="minorEastAsia"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6">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7">
    <w:nsid w:val="4B442EA4"/>
    <w:multiLevelType w:val="hybridMultilevel"/>
    <w:tmpl w:val="999EC3A4"/>
    <w:lvl w:ilvl="0" w:tplc="59E0659C">
      <w:start w:val="1"/>
      <w:numFmt w:val="decimal"/>
      <w:lvlText w:val="%1."/>
      <w:lvlJc w:val="left"/>
      <w:pPr>
        <w:ind w:left="720" w:hanging="360"/>
      </w:pPr>
      <w:rPr>
        <w:rFonts w:eastAsiaTheme="minorEastAsia"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A605783"/>
    <w:multiLevelType w:val="hybridMultilevel"/>
    <w:tmpl w:val="0C94FB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2">
    <w:nsid w:val="5B1B5E15"/>
    <w:multiLevelType w:val="hybridMultilevel"/>
    <w:tmpl w:val="158AB30E"/>
    <w:lvl w:ilvl="0" w:tplc="B40CDB7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3">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4">
    <w:nsid w:val="65175DE8"/>
    <w:multiLevelType w:val="hybridMultilevel"/>
    <w:tmpl w:val="76AC3522"/>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6A465651"/>
    <w:multiLevelType w:val="multilevel"/>
    <w:tmpl w:val="64B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8">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36222A"/>
    <w:multiLevelType w:val="hybridMultilevel"/>
    <w:tmpl w:val="197864C0"/>
    <w:lvl w:ilvl="0" w:tplc="A51EE2A8">
      <w:start w:val="1"/>
      <w:numFmt w:val="upperRoman"/>
      <w:lvlText w:val="%1."/>
      <w:lvlJc w:val="left"/>
      <w:pPr>
        <w:ind w:left="1080" w:hanging="72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nsid w:val="78290EB3"/>
    <w:multiLevelType w:val="hybridMultilevel"/>
    <w:tmpl w:val="3104EC7C"/>
    <w:lvl w:ilvl="0" w:tplc="8236F1FE">
      <w:start w:val="1"/>
      <w:numFmt w:val="lowerLetter"/>
      <w:lvlText w:val="%1)"/>
      <w:lvlJc w:val="left"/>
      <w:pPr>
        <w:ind w:left="717" w:hanging="360"/>
      </w:pPr>
      <w:rPr>
        <w:rFonts w:hint="default"/>
      </w:rPr>
    </w:lvl>
    <w:lvl w:ilvl="1" w:tplc="04180019" w:tentative="1">
      <w:start w:val="1"/>
      <w:numFmt w:val="lowerLetter"/>
      <w:lvlText w:val="%2."/>
      <w:lvlJc w:val="left"/>
      <w:pPr>
        <w:ind w:left="1437" w:hanging="360"/>
      </w:pPr>
    </w:lvl>
    <w:lvl w:ilvl="2" w:tplc="0418001B" w:tentative="1">
      <w:start w:val="1"/>
      <w:numFmt w:val="lowerRoman"/>
      <w:lvlText w:val="%3."/>
      <w:lvlJc w:val="right"/>
      <w:pPr>
        <w:ind w:left="2157" w:hanging="180"/>
      </w:pPr>
    </w:lvl>
    <w:lvl w:ilvl="3" w:tplc="0418000F" w:tentative="1">
      <w:start w:val="1"/>
      <w:numFmt w:val="decimal"/>
      <w:lvlText w:val="%4."/>
      <w:lvlJc w:val="left"/>
      <w:pPr>
        <w:ind w:left="2877" w:hanging="360"/>
      </w:pPr>
    </w:lvl>
    <w:lvl w:ilvl="4" w:tplc="04180019" w:tentative="1">
      <w:start w:val="1"/>
      <w:numFmt w:val="lowerLetter"/>
      <w:lvlText w:val="%5."/>
      <w:lvlJc w:val="left"/>
      <w:pPr>
        <w:ind w:left="3597" w:hanging="360"/>
      </w:pPr>
    </w:lvl>
    <w:lvl w:ilvl="5" w:tplc="0418001B" w:tentative="1">
      <w:start w:val="1"/>
      <w:numFmt w:val="lowerRoman"/>
      <w:lvlText w:val="%6."/>
      <w:lvlJc w:val="right"/>
      <w:pPr>
        <w:ind w:left="4317" w:hanging="180"/>
      </w:pPr>
    </w:lvl>
    <w:lvl w:ilvl="6" w:tplc="0418000F" w:tentative="1">
      <w:start w:val="1"/>
      <w:numFmt w:val="decimal"/>
      <w:lvlText w:val="%7."/>
      <w:lvlJc w:val="left"/>
      <w:pPr>
        <w:ind w:left="5037" w:hanging="360"/>
      </w:pPr>
    </w:lvl>
    <w:lvl w:ilvl="7" w:tplc="04180019" w:tentative="1">
      <w:start w:val="1"/>
      <w:numFmt w:val="lowerLetter"/>
      <w:lvlText w:val="%8."/>
      <w:lvlJc w:val="left"/>
      <w:pPr>
        <w:ind w:left="5757" w:hanging="360"/>
      </w:pPr>
    </w:lvl>
    <w:lvl w:ilvl="8" w:tplc="0418001B" w:tentative="1">
      <w:start w:val="1"/>
      <w:numFmt w:val="lowerRoman"/>
      <w:lvlText w:val="%9."/>
      <w:lvlJc w:val="right"/>
      <w:pPr>
        <w:ind w:left="6477" w:hanging="180"/>
      </w:pPr>
    </w:lvl>
  </w:abstractNum>
  <w:abstractNum w:abstractNumId="42">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nsid w:val="78F22007"/>
    <w:multiLevelType w:val="hybridMultilevel"/>
    <w:tmpl w:val="25860E42"/>
    <w:lvl w:ilvl="0" w:tplc="F2D4427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4">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40"/>
  </w:num>
  <w:num w:numId="2">
    <w:abstractNumId w:val="10"/>
  </w:num>
  <w:num w:numId="3">
    <w:abstractNumId w:val="42"/>
  </w:num>
  <w:num w:numId="4">
    <w:abstractNumId w:val="22"/>
  </w:num>
  <w:num w:numId="5">
    <w:abstractNumId w:val="4"/>
  </w:num>
  <w:num w:numId="6">
    <w:abstractNumId w:val="16"/>
  </w:num>
  <w:num w:numId="7">
    <w:abstractNumId w:val="26"/>
  </w:num>
  <w:num w:numId="8">
    <w:abstractNumId w:val="44"/>
  </w:num>
  <w:num w:numId="9">
    <w:abstractNumId w:val="29"/>
  </w:num>
  <w:num w:numId="10">
    <w:abstractNumId w:val="6"/>
  </w:num>
  <w:num w:numId="11">
    <w:abstractNumId w:val="33"/>
  </w:num>
  <w:num w:numId="12">
    <w:abstractNumId w:val="12"/>
  </w:num>
  <w:num w:numId="13">
    <w:abstractNumId w:val="15"/>
  </w:num>
  <w:num w:numId="14">
    <w:abstractNumId w:val="5"/>
  </w:num>
  <w:num w:numId="15">
    <w:abstractNumId w:val="1"/>
  </w:num>
  <w:num w:numId="16">
    <w:abstractNumId w:val="9"/>
  </w:num>
  <w:num w:numId="1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35"/>
  </w:num>
  <w:num w:numId="20">
    <w:abstractNumId w:val="21"/>
  </w:num>
  <w:num w:numId="21">
    <w:abstractNumId w:val="37"/>
  </w:num>
  <w:num w:numId="22">
    <w:abstractNumId w:val="32"/>
  </w:num>
  <w:num w:numId="23">
    <w:abstractNumId w:val="0"/>
  </w:num>
  <w:num w:numId="24">
    <w:abstractNumId w:val="27"/>
  </w:num>
  <w:num w:numId="25">
    <w:abstractNumId w:val="13"/>
  </w:num>
  <w:num w:numId="2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3"/>
  </w:num>
  <w:num w:numId="29">
    <w:abstractNumId w:val="38"/>
  </w:num>
  <w:num w:numId="30">
    <w:abstractNumId w:val="36"/>
  </w:num>
  <w:num w:numId="31">
    <w:abstractNumId w:val="23"/>
  </w:num>
  <w:num w:numId="32">
    <w:abstractNumId w:val="39"/>
  </w:num>
  <w:num w:numId="33">
    <w:abstractNumId w:val="7"/>
  </w:num>
  <w:num w:numId="34">
    <w:abstractNumId w:val="31"/>
  </w:num>
  <w:num w:numId="35">
    <w:abstractNumId w:val="25"/>
  </w:num>
  <w:num w:numId="36">
    <w:abstractNumId w:val="2"/>
  </w:num>
  <w:num w:numId="37">
    <w:abstractNumId w:val="19"/>
  </w:num>
  <w:num w:numId="38">
    <w:abstractNumId w:val="3"/>
  </w:num>
  <w:num w:numId="39">
    <w:abstractNumId w:val="18"/>
  </w:num>
  <w:num w:numId="40">
    <w:abstractNumId w:val="11"/>
  </w:num>
  <w:num w:numId="41">
    <w:abstractNumId w:val="20"/>
  </w:num>
  <w:num w:numId="42">
    <w:abstractNumId w:val="14"/>
  </w:num>
  <w:num w:numId="43">
    <w:abstractNumId w:val="41"/>
  </w:num>
  <w:num w:numId="44">
    <w:abstractNumId w:val="34"/>
  </w:num>
  <w:num w:numId="45">
    <w:abstractNumId w:val="17"/>
  </w:num>
  <w:num w:numId="46">
    <w:abstractNumId w:val="24"/>
  </w:num>
  <w:num w:numId="4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193538" fill="f" fillcolor="white" stroke="f">
      <v:fill color="white" on="f"/>
      <v:stroke on="f"/>
    </o:shapedefaults>
  </w:hdrShapeDefaults>
  <w:footnotePr>
    <w:footnote w:id="-1"/>
    <w:footnote w:id="0"/>
  </w:footnotePr>
  <w:endnotePr>
    <w:endnote w:id="-1"/>
    <w:endnote w:id="0"/>
  </w:endnotePr>
  <w:compat/>
  <w:rsids>
    <w:rsidRoot w:val="00A5730C"/>
    <w:rsid w:val="000037C7"/>
    <w:rsid w:val="00012CDA"/>
    <w:rsid w:val="00013BBF"/>
    <w:rsid w:val="000149BC"/>
    <w:rsid w:val="00022455"/>
    <w:rsid w:val="00044743"/>
    <w:rsid w:val="00046FA4"/>
    <w:rsid w:val="0005683F"/>
    <w:rsid w:val="000703D1"/>
    <w:rsid w:val="00070CC4"/>
    <w:rsid w:val="00077B75"/>
    <w:rsid w:val="00091529"/>
    <w:rsid w:val="00092FDE"/>
    <w:rsid w:val="000A6FFF"/>
    <w:rsid w:val="000B060B"/>
    <w:rsid w:val="000B0762"/>
    <w:rsid w:val="000B1C3F"/>
    <w:rsid w:val="000C1CE5"/>
    <w:rsid w:val="000C65AC"/>
    <w:rsid w:val="000C686C"/>
    <w:rsid w:val="000D06A1"/>
    <w:rsid w:val="000D1579"/>
    <w:rsid w:val="000D23E9"/>
    <w:rsid w:val="000D61FE"/>
    <w:rsid w:val="000D63BB"/>
    <w:rsid w:val="000D67E8"/>
    <w:rsid w:val="000E0FCD"/>
    <w:rsid w:val="000E124A"/>
    <w:rsid w:val="000E22B2"/>
    <w:rsid w:val="000E607D"/>
    <w:rsid w:val="000F019B"/>
    <w:rsid w:val="000F2909"/>
    <w:rsid w:val="000F7506"/>
    <w:rsid w:val="001003C1"/>
    <w:rsid w:val="001078D1"/>
    <w:rsid w:val="00110135"/>
    <w:rsid w:val="001108F1"/>
    <w:rsid w:val="001125D6"/>
    <w:rsid w:val="00131B46"/>
    <w:rsid w:val="00134C6E"/>
    <w:rsid w:val="00136D53"/>
    <w:rsid w:val="001432F8"/>
    <w:rsid w:val="001466FC"/>
    <w:rsid w:val="001524AD"/>
    <w:rsid w:val="00155ADD"/>
    <w:rsid w:val="001562D8"/>
    <w:rsid w:val="00183D76"/>
    <w:rsid w:val="001A2A83"/>
    <w:rsid w:val="001A2C86"/>
    <w:rsid w:val="001A314A"/>
    <w:rsid w:val="001A52D5"/>
    <w:rsid w:val="001A6306"/>
    <w:rsid w:val="001B2345"/>
    <w:rsid w:val="001C0627"/>
    <w:rsid w:val="001C1BA4"/>
    <w:rsid w:val="001D3525"/>
    <w:rsid w:val="001D4E7E"/>
    <w:rsid w:val="001E6D89"/>
    <w:rsid w:val="001F4469"/>
    <w:rsid w:val="001F4A78"/>
    <w:rsid w:val="00210CA8"/>
    <w:rsid w:val="002205DC"/>
    <w:rsid w:val="00220CA6"/>
    <w:rsid w:val="00224649"/>
    <w:rsid w:val="002250FA"/>
    <w:rsid w:val="00232DFD"/>
    <w:rsid w:val="002339A1"/>
    <w:rsid w:val="002407EE"/>
    <w:rsid w:val="00240DE4"/>
    <w:rsid w:val="002524C3"/>
    <w:rsid w:val="00253DAE"/>
    <w:rsid w:val="00257DD7"/>
    <w:rsid w:val="002633FD"/>
    <w:rsid w:val="00267A17"/>
    <w:rsid w:val="00272F5D"/>
    <w:rsid w:val="0027516C"/>
    <w:rsid w:val="002761A4"/>
    <w:rsid w:val="0027763C"/>
    <w:rsid w:val="00283CCD"/>
    <w:rsid w:val="00290771"/>
    <w:rsid w:val="00291167"/>
    <w:rsid w:val="002A1C57"/>
    <w:rsid w:val="002A4B1D"/>
    <w:rsid w:val="002A5F05"/>
    <w:rsid w:val="002B4CFC"/>
    <w:rsid w:val="002C088D"/>
    <w:rsid w:val="002C4539"/>
    <w:rsid w:val="002D40DC"/>
    <w:rsid w:val="002D4843"/>
    <w:rsid w:val="002D7D9A"/>
    <w:rsid w:val="002E1BD1"/>
    <w:rsid w:val="002E480A"/>
    <w:rsid w:val="002E72F6"/>
    <w:rsid w:val="002E7B38"/>
    <w:rsid w:val="002F0676"/>
    <w:rsid w:val="002F083C"/>
    <w:rsid w:val="002F2148"/>
    <w:rsid w:val="002F41DD"/>
    <w:rsid w:val="002F4556"/>
    <w:rsid w:val="002F5E72"/>
    <w:rsid w:val="002F7937"/>
    <w:rsid w:val="002F797B"/>
    <w:rsid w:val="0030094F"/>
    <w:rsid w:val="00305518"/>
    <w:rsid w:val="00305F6B"/>
    <w:rsid w:val="003328DE"/>
    <w:rsid w:val="003359BA"/>
    <w:rsid w:val="00343819"/>
    <w:rsid w:val="00344F75"/>
    <w:rsid w:val="00347242"/>
    <w:rsid w:val="00354557"/>
    <w:rsid w:val="003547B2"/>
    <w:rsid w:val="00364BF2"/>
    <w:rsid w:val="00366A28"/>
    <w:rsid w:val="0037321C"/>
    <w:rsid w:val="00373821"/>
    <w:rsid w:val="00377835"/>
    <w:rsid w:val="003841DA"/>
    <w:rsid w:val="003846A1"/>
    <w:rsid w:val="00391A2A"/>
    <w:rsid w:val="0039454E"/>
    <w:rsid w:val="003A16E2"/>
    <w:rsid w:val="003A545A"/>
    <w:rsid w:val="003A7041"/>
    <w:rsid w:val="003B5621"/>
    <w:rsid w:val="003B5946"/>
    <w:rsid w:val="003C117D"/>
    <w:rsid w:val="003D1FA0"/>
    <w:rsid w:val="003E0946"/>
    <w:rsid w:val="003E1277"/>
    <w:rsid w:val="003F1375"/>
    <w:rsid w:val="003F4C31"/>
    <w:rsid w:val="0040120A"/>
    <w:rsid w:val="0040224A"/>
    <w:rsid w:val="00405C8B"/>
    <w:rsid w:val="004063FC"/>
    <w:rsid w:val="0041247C"/>
    <w:rsid w:val="00435550"/>
    <w:rsid w:val="00444ACF"/>
    <w:rsid w:val="00451233"/>
    <w:rsid w:val="004531F5"/>
    <w:rsid w:val="00454642"/>
    <w:rsid w:val="004574D3"/>
    <w:rsid w:val="00457B55"/>
    <w:rsid w:val="00457D2C"/>
    <w:rsid w:val="00460908"/>
    <w:rsid w:val="004727AD"/>
    <w:rsid w:val="00476E58"/>
    <w:rsid w:val="00483482"/>
    <w:rsid w:val="0048564E"/>
    <w:rsid w:val="00485839"/>
    <w:rsid w:val="004920CB"/>
    <w:rsid w:val="00495740"/>
    <w:rsid w:val="004A325A"/>
    <w:rsid w:val="004A38E0"/>
    <w:rsid w:val="004A4CD8"/>
    <w:rsid w:val="004A6260"/>
    <w:rsid w:val="004A64D5"/>
    <w:rsid w:val="004B2E4C"/>
    <w:rsid w:val="004B50CF"/>
    <w:rsid w:val="004B6633"/>
    <w:rsid w:val="004B6C2D"/>
    <w:rsid w:val="004C0A07"/>
    <w:rsid w:val="004C1E85"/>
    <w:rsid w:val="004C686E"/>
    <w:rsid w:val="004D17AC"/>
    <w:rsid w:val="004E3EC9"/>
    <w:rsid w:val="004F027A"/>
    <w:rsid w:val="004F253A"/>
    <w:rsid w:val="004F465D"/>
    <w:rsid w:val="0050406E"/>
    <w:rsid w:val="00505FDF"/>
    <w:rsid w:val="0051140D"/>
    <w:rsid w:val="00514335"/>
    <w:rsid w:val="00514392"/>
    <w:rsid w:val="005152E8"/>
    <w:rsid w:val="00516866"/>
    <w:rsid w:val="00524932"/>
    <w:rsid w:val="0053415F"/>
    <w:rsid w:val="00535173"/>
    <w:rsid w:val="005400BA"/>
    <w:rsid w:val="005432D3"/>
    <w:rsid w:val="00543401"/>
    <w:rsid w:val="005444A4"/>
    <w:rsid w:val="00555F4D"/>
    <w:rsid w:val="00560578"/>
    <w:rsid w:val="005608BC"/>
    <w:rsid w:val="00560C90"/>
    <w:rsid w:val="00560F76"/>
    <w:rsid w:val="00562CE9"/>
    <w:rsid w:val="0057077D"/>
    <w:rsid w:val="005714E1"/>
    <w:rsid w:val="005718CB"/>
    <w:rsid w:val="00571D0B"/>
    <w:rsid w:val="005726A9"/>
    <w:rsid w:val="005757DA"/>
    <w:rsid w:val="00576A6B"/>
    <w:rsid w:val="00580015"/>
    <w:rsid w:val="005809EE"/>
    <w:rsid w:val="00584FD8"/>
    <w:rsid w:val="0059014B"/>
    <w:rsid w:val="0059478A"/>
    <w:rsid w:val="005A4A6F"/>
    <w:rsid w:val="005A4C7C"/>
    <w:rsid w:val="005A61DA"/>
    <w:rsid w:val="005B4D42"/>
    <w:rsid w:val="005B55FB"/>
    <w:rsid w:val="005C304C"/>
    <w:rsid w:val="005C4BD7"/>
    <w:rsid w:val="005C6E0A"/>
    <w:rsid w:val="005D04F2"/>
    <w:rsid w:val="005D7B77"/>
    <w:rsid w:val="005E0F62"/>
    <w:rsid w:val="005E2A86"/>
    <w:rsid w:val="005E3F5B"/>
    <w:rsid w:val="005E5299"/>
    <w:rsid w:val="005E66DD"/>
    <w:rsid w:val="005F0022"/>
    <w:rsid w:val="005F4961"/>
    <w:rsid w:val="005F7931"/>
    <w:rsid w:val="0060170A"/>
    <w:rsid w:val="0060280E"/>
    <w:rsid w:val="00610D9A"/>
    <w:rsid w:val="00614D1B"/>
    <w:rsid w:val="0062668F"/>
    <w:rsid w:val="00626E7C"/>
    <w:rsid w:val="00644E9E"/>
    <w:rsid w:val="00645F42"/>
    <w:rsid w:val="00646808"/>
    <w:rsid w:val="00646F1E"/>
    <w:rsid w:val="00657822"/>
    <w:rsid w:val="0066167C"/>
    <w:rsid w:val="00663DFA"/>
    <w:rsid w:val="006736E9"/>
    <w:rsid w:val="00674C3D"/>
    <w:rsid w:val="00684BA1"/>
    <w:rsid w:val="00691AB4"/>
    <w:rsid w:val="006A0DD9"/>
    <w:rsid w:val="006B2F4A"/>
    <w:rsid w:val="006B4742"/>
    <w:rsid w:val="006B4876"/>
    <w:rsid w:val="006C1403"/>
    <w:rsid w:val="006C1B23"/>
    <w:rsid w:val="006C4473"/>
    <w:rsid w:val="006C545D"/>
    <w:rsid w:val="006E0EF5"/>
    <w:rsid w:val="006E5969"/>
    <w:rsid w:val="006E6CAE"/>
    <w:rsid w:val="006F3C66"/>
    <w:rsid w:val="006F5937"/>
    <w:rsid w:val="00700071"/>
    <w:rsid w:val="00703513"/>
    <w:rsid w:val="007047D2"/>
    <w:rsid w:val="00722648"/>
    <w:rsid w:val="007335A7"/>
    <w:rsid w:val="00736ADE"/>
    <w:rsid w:val="00745E04"/>
    <w:rsid w:val="00751CE5"/>
    <w:rsid w:val="00755AF3"/>
    <w:rsid w:val="007670CD"/>
    <w:rsid w:val="007736A6"/>
    <w:rsid w:val="00783432"/>
    <w:rsid w:val="00783BEE"/>
    <w:rsid w:val="007846AB"/>
    <w:rsid w:val="00786A55"/>
    <w:rsid w:val="007977C3"/>
    <w:rsid w:val="007B04E5"/>
    <w:rsid w:val="007B106F"/>
    <w:rsid w:val="007B2CBB"/>
    <w:rsid w:val="007B6EAA"/>
    <w:rsid w:val="007C126C"/>
    <w:rsid w:val="007D2AAA"/>
    <w:rsid w:val="007D6816"/>
    <w:rsid w:val="007F263D"/>
    <w:rsid w:val="007F27FF"/>
    <w:rsid w:val="007F2F65"/>
    <w:rsid w:val="007F4F89"/>
    <w:rsid w:val="00802203"/>
    <w:rsid w:val="00811206"/>
    <w:rsid w:val="00824605"/>
    <w:rsid w:val="00825870"/>
    <w:rsid w:val="008262CB"/>
    <w:rsid w:val="008316B3"/>
    <w:rsid w:val="008317E8"/>
    <w:rsid w:val="00833388"/>
    <w:rsid w:val="00851794"/>
    <w:rsid w:val="00853D20"/>
    <w:rsid w:val="008565FA"/>
    <w:rsid w:val="00857F1E"/>
    <w:rsid w:val="00857F35"/>
    <w:rsid w:val="0086434E"/>
    <w:rsid w:val="00866BB9"/>
    <w:rsid w:val="00866C1C"/>
    <w:rsid w:val="0087549B"/>
    <w:rsid w:val="00893A7F"/>
    <w:rsid w:val="00897D8B"/>
    <w:rsid w:val="008A0C80"/>
    <w:rsid w:val="008B2F61"/>
    <w:rsid w:val="008B6976"/>
    <w:rsid w:val="008B6B6C"/>
    <w:rsid w:val="008B6DBE"/>
    <w:rsid w:val="008C22F8"/>
    <w:rsid w:val="008C4F9F"/>
    <w:rsid w:val="008D21B6"/>
    <w:rsid w:val="008D4181"/>
    <w:rsid w:val="008D785B"/>
    <w:rsid w:val="008E5E2C"/>
    <w:rsid w:val="008E7294"/>
    <w:rsid w:val="008F0924"/>
    <w:rsid w:val="008F362C"/>
    <w:rsid w:val="008F5FA0"/>
    <w:rsid w:val="0090206E"/>
    <w:rsid w:val="0090645D"/>
    <w:rsid w:val="00911054"/>
    <w:rsid w:val="00913F52"/>
    <w:rsid w:val="0091747B"/>
    <w:rsid w:val="00924BA1"/>
    <w:rsid w:val="00941E3A"/>
    <w:rsid w:val="00953C57"/>
    <w:rsid w:val="0095606D"/>
    <w:rsid w:val="0095715C"/>
    <w:rsid w:val="00962A4A"/>
    <w:rsid w:val="00963A75"/>
    <w:rsid w:val="00966573"/>
    <w:rsid w:val="00982E45"/>
    <w:rsid w:val="00990474"/>
    <w:rsid w:val="00990481"/>
    <w:rsid w:val="009919CF"/>
    <w:rsid w:val="00993C7C"/>
    <w:rsid w:val="009978E2"/>
    <w:rsid w:val="00997F4D"/>
    <w:rsid w:val="009B1DD1"/>
    <w:rsid w:val="009B214F"/>
    <w:rsid w:val="009B44B0"/>
    <w:rsid w:val="009B470A"/>
    <w:rsid w:val="009C580E"/>
    <w:rsid w:val="009E41F8"/>
    <w:rsid w:val="009E4F0E"/>
    <w:rsid w:val="009E6DA9"/>
    <w:rsid w:val="009F223A"/>
    <w:rsid w:val="00A03572"/>
    <w:rsid w:val="00A035A9"/>
    <w:rsid w:val="00A039A8"/>
    <w:rsid w:val="00A03C53"/>
    <w:rsid w:val="00A04E72"/>
    <w:rsid w:val="00A253F9"/>
    <w:rsid w:val="00A307B7"/>
    <w:rsid w:val="00A33A7A"/>
    <w:rsid w:val="00A35625"/>
    <w:rsid w:val="00A35F4B"/>
    <w:rsid w:val="00A56BD8"/>
    <w:rsid w:val="00A5730C"/>
    <w:rsid w:val="00A63C26"/>
    <w:rsid w:val="00A66EB6"/>
    <w:rsid w:val="00A73560"/>
    <w:rsid w:val="00A74694"/>
    <w:rsid w:val="00A80250"/>
    <w:rsid w:val="00A8446C"/>
    <w:rsid w:val="00A910DD"/>
    <w:rsid w:val="00AA175B"/>
    <w:rsid w:val="00AA627C"/>
    <w:rsid w:val="00AB2A31"/>
    <w:rsid w:val="00AB358A"/>
    <w:rsid w:val="00AB4AFB"/>
    <w:rsid w:val="00AC32E6"/>
    <w:rsid w:val="00AD3520"/>
    <w:rsid w:val="00AD38B7"/>
    <w:rsid w:val="00AE21F3"/>
    <w:rsid w:val="00AF2A94"/>
    <w:rsid w:val="00AF356C"/>
    <w:rsid w:val="00AF5193"/>
    <w:rsid w:val="00AF682F"/>
    <w:rsid w:val="00B03525"/>
    <w:rsid w:val="00B0705B"/>
    <w:rsid w:val="00B12265"/>
    <w:rsid w:val="00B12DFE"/>
    <w:rsid w:val="00B3366D"/>
    <w:rsid w:val="00B33F5E"/>
    <w:rsid w:val="00B35198"/>
    <w:rsid w:val="00B4734C"/>
    <w:rsid w:val="00B6490A"/>
    <w:rsid w:val="00B71A54"/>
    <w:rsid w:val="00B7562F"/>
    <w:rsid w:val="00B92678"/>
    <w:rsid w:val="00BA6605"/>
    <w:rsid w:val="00BB09E0"/>
    <w:rsid w:val="00BB0E5A"/>
    <w:rsid w:val="00BB14F0"/>
    <w:rsid w:val="00BC50DC"/>
    <w:rsid w:val="00BC58F9"/>
    <w:rsid w:val="00BC6F51"/>
    <w:rsid w:val="00BE37ED"/>
    <w:rsid w:val="00BE44FA"/>
    <w:rsid w:val="00BE5FAB"/>
    <w:rsid w:val="00BF0577"/>
    <w:rsid w:val="00BF09EB"/>
    <w:rsid w:val="00C026F3"/>
    <w:rsid w:val="00C0317A"/>
    <w:rsid w:val="00C03279"/>
    <w:rsid w:val="00C13530"/>
    <w:rsid w:val="00C1640C"/>
    <w:rsid w:val="00C250D0"/>
    <w:rsid w:val="00C25F69"/>
    <w:rsid w:val="00C26608"/>
    <w:rsid w:val="00C31B59"/>
    <w:rsid w:val="00C40C98"/>
    <w:rsid w:val="00C40FD1"/>
    <w:rsid w:val="00C42A92"/>
    <w:rsid w:val="00C46207"/>
    <w:rsid w:val="00C52790"/>
    <w:rsid w:val="00C54CCA"/>
    <w:rsid w:val="00C578A5"/>
    <w:rsid w:val="00C61366"/>
    <w:rsid w:val="00C6189B"/>
    <w:rsid w:val="00C65F00"/>
    <w:rsid w:val="00C705FF"/>
    <w:rsid w:val="00C717E8"/>
    <w:rsid w:val="00C76D75"/>
    <w:rsid w:val="00C92725"/>
    <w:rsid w:val="00C95411"/>
    <w:rsid w:val="00CA3126"/>
    <w:rsid w:val="00CB1DE2"/>
    <w:rsid w:val="00CB6571"/>
    <w:rsid w:val="00CB6F02"/>
    <w:rsid w:val="00CD6853"/>
    <w:rsid w:val="00CE0907"/>
    <w:rsid w:val="00CF0233"/>
    <w:rsid w:val="00CF7B57"/>
    <w:rsid w:val="00D02FBC"/>
    <w:rsid w:val="00D04853"/>
    <w:rsid w:val="00D04F75"/>
    <w:rsid w:val="00D15A7C"/>
    <w:rsid w:val="00D232A4"/>
    <w:rsid w:val="00D2434E"/>
    <w:rsid w:val="00D27C86"/>
    <w:rsid w:val="00D30162"/>
    <w:rsid w:val="00D32396"/>
    <w:rsid w:val="00D332DC"/>
    <w:rsid w:val="00D352D8"/>
    <w:rsid w:val="00D42F41"/>
    <w:rsid w:val="00D44EDA"/>
    <w:rsid w:val="00D450E6"/>
    <w:rsid w:val="00D450FC"/>
    <w:rsid w:val="00D57509"/>
    <w:rsid w:val="00D57561"/>
    <w:rsid w:val="00D57AD9"/>
    <w:rsid w:val="00D57BBB"/>
    <w:rsid w:val="00D6141A"/>
    <w:rsid w:val="00D64B1B"/>
    <w:rsid w:val="00D70A3F"/>
    <w:rsid w:val="00D72345"/>
    <w:rsid w:val="00D738B6"/>
    <w:rsid w:val="00D7632A"/>
    <w:rsid w:val="00D763F0"/>
    <w:rsid w:val="00D767EC"/>
    <w:rsid w:val="00D95F02"/>
    <w:rsid w:val="00DA27B5"/>
    <w:rsid w:val="00DB0A3F"/>
    <w:rsid w:val="00DC2D25"/>
    <w:rsid w:val="00DD2FCC"/>
    <w:rsid w:val="00DD5885"/>
    <w:rsid w:val="00DD7DD9"/>
    <w:rsid w:val="00DF198A"/>
    <w:rsid w:val="00DF5DC2"/>
    <w:rsid w:val="00DF784C"/>
    <w:rsid w:val="00DF7A82"/>
    <w:rsid w:val="00E00BFB"/>
    <w:rsid w:val="00E06CAD"/>
    <w:rsid w:val="00E078A6"/>
    <w:rsid w:val="00E14464"/>
    <w:rsid w:val="00E149BE"/>
    <w:rsid w:val="00E20F82"/>
    <w:rsid w:val="00E22111"/>
    <w:rsid w:val="00E23A7C"/>
    <w:rsid w:val="00E30658"/>
    <w:rsid w:val="00E369D8"/>
    <w:rsid w:val="00E500CE"/>
    <w:rsid w:val="00E52DCB"/>
    <w:rsid w:val="00E62158"/>
    <w:rsid w:val="00E65752"/>
    <w:rsid w:val="00E674BD"/>
    <w:rsid w:val="00E678F2"/>
    <w:rsid w:val="00E716CC"/>
    <w:rsid w:val="00E73799"/>
    <w:rsid w:val="00E84A6D"/>
    <w:rsid w:val="00E86535"/>
    <w:rsid w:val="00EA5DD0"/>
    <w:rsid w:val="00EA5EFB"/>
    <w:rsid w:val="00ED09D4"/>
    <w:rsid w:val="00ED17B4"/>
    <w:rsid w:val="00ED2EF1"/>
    <w:rsid w:val="00EE067D"/>
    <w:rsid w:val="00EF2BF7"/>
    <w:rsid w:val="00F00B79"/>
    <w:rsid w:val="00F04164"/>
    <w:rsid w:val="00F16153"/>
    <w:rsid w:val="00F22F00"/>
    <w:rsid w:val="00F2496F"/>
    <w:rsid w:val="00F25D05"/>
    <w:rsid w:val="00F26321"/>
    <w:rsid w:val="00F30473"/>
    <w:rsid w:val="00F30DF5"/>
    <w:rsid w:val="00F3282C"/>
    <w:rsid w:val="00F32BDB"/>
    <w:rsid w:val="00F32C5D"/>
    <w:rsid w:val="00F33C30"/>
    <w:rsid w:val="00F40D56"/>
    <w:rsid w:val="00F460AD"/>
    <w:rsid w:val="00F4624C"/>
    <w:rsid w:val="00F52ADB"/>
    <w:rsid w:val="00F544E4"/>
    <w:rsid w:val="00F57AF2"/>
    <w:rsid w:val="00F65202"/>
    <w:rsid w:val="00F66CAE"/>
    <w:rsid w:val="00F66EBF"/>
    <w:rsid w:val="00F70B8B"/>
    <w:rsid w:val="00F7497F"/>
    <w:rsid w:val="00F805A3"/>
    <w:rsid w:val="00F80A8F"/>
    <w:rsid w:val="00F82BCB"/>
    <w:rsid w:val="00F83CC9"/>
    <w:rsid w:val="00F86FF9"/>
    <w:rsid w:val="00F8731F"/>
    <w:rsid w:val="00F94243"/>
    <w:rsid w:val="00F94335"/>
    <w:rsid w:val="00F972E1"/>
    <w:rsid w:val="00FB5D35"/>
    <w:rsid w:val="00FB6F5C"/>
    <w:rsid w:val="00FB71CC"/>
    <w:rsid w:val="00FB7445"/>
    <w:rsid w:val="00FC0061"/>
    <w:rsid w:val="00FC15BC"/>
    <w:rsid w:val="00FC5104"/>
    <w:rsid w:val="00FD10E0"/>
    <w:rsid w:val="00FD132F"/>
    <w:rsid w:val="00FE613E"/>
    <w:rsid w:val="00FF084E"/>
    <w:rsid w:val="00FF10FA"/>
    <w:rsid w:val="00FF123D"/>
    <w:rsid w:val="00FF225D"/>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3538"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 w:type="paragraph" w:styleId="HTMLPreformatted">
    <w:name w:val="HTML Preformatted"/>
    <w:basedOn w:val="Normal"/>
    <w:link w:val="HTMLPreformattedCha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718CB"/>
    <w:rPr>
      <w:rFonts w:ascii="Courier New" w:eastAsiaTheme="minorEastAsia" w:hAnsi="Courier New" w:cs="Courier New"/>
      <w:lang w:val="en-US" w:eastAsia="en-US"/>
    </w:rPr>
  </w:style>
  <w:style w:type="paragraph" w:styleId="NormalWeb">
    <w:name w:val="Normal (Web)"/>
    <w:basedOn w:val="Normal"/>
    <w:uiPriority w:val="99"/>
    <w:unhideWhenUsed/>
    <w:rsid w:val="00D738B6"/>
    <w:pPr>
      <w:spacing w:before="100" w:beforeAutospacing="1" w:after="100" w:afterAutospacing="1"/>
    </w:pPr>
    <w:rPr>
      <w:lang w:val="en-US"/>
    </w:rPr>
  </w:style>
  <w:style w:type="table" w:styleId="TableGrid">
    <w:name w:val="Table Grid"/>
    <w:basedOn w:val="TableNormal"/>
    <w:uiPriority w:val="59"/>
    <w:rsid w:val="00D738B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2B2"/>
    <w:rPr>
      <w:i/>
      <w:iCs/>
    </w:rPr>
  </w:style>
  <w:style w:type="character" w:customStyle="1" w:styleId="ssecbdy">
    <w:name w:val="s_sec_bdy"/>
    <w:basedOn w:val="DefaultParagraphFont"/>
    <w:rsid w:val="00A80250"/>
    <w:rPr>
      <w:rFonts w:ascii="Verdana" w:hAnsi="Verdana" w:hint="default"/>
      <w:b w:val="0"/>
      <w:bCs w:val="0"/>
      <w:color w:val="000000"/>
      <w:sz w:val="20"/>
      <w:szCs w:val="20"/>
      <w:shd w:val="clear" w:color="auto" w:fill="FFFFFF"/>
    </w:rPr>
  </w:style>
  <w:style w:type="character" w:customStyle="1" w:styleId="fontstyle01">
    <w:name w:val="fontstyle01"/>
    <w:rsid w:val="00E84A6D"/>
    <w:rPr>
      <w:rFonts w:ascii="TimesNewRomanPSMT" w:hAnsi="TimesNewRomanPSMT" w:hint="default"/>
      <w:b w:val="0"/>
      <w:bCs w:val="0"/>
      <w:i w:val="0"/>
      <w:iCs w:val="0"/>
      <w:color w:val="000000"/>
      <w:sz w:val="24"/>
      <w:szCs w:val="24"/>
    </w:rPr>
  </w:style>
  <w:style w:type="character" w:customStyle="1" w:styleId="sartbdy">
    <w:name w:val="s_art_bdy"/>
    <w:basedOn w:val="DefaultParagraphFont"/>
    <w:rsid w:val="00E84A6D"/>
    <w:rPr>
      <w:rFonts w:ascii="Verdana" w:hAnsi="Verdana" w:hint="default"/>
      <w:b w:val="0"/>
      <w:bCs w:val="0"/>
      <w:color w:val="000000"/>
      <w:sz w:val="20"/>
      <w:szCs w:val="20"/>
      <w:shd w:val="clear" w:color="auto" w:fill="FFFFFF"/>
    </w:rPr>
  </w:style>
  <w:style w:type="paragraph" w:customStyle="1" w:styleId="sartden">
    <w:name w:val="s_art_den"/>
    <w:basedOn w:val="Normal"/>
    <w:rsid w:val="002F7937"/>
    <w:rPr>
      <w:rFonts w:ascii="Verdana" w:eastAsiaTheme="minorEastAsia" w:hAnsi="Verdana"/>
      <w:b/>
      <w:bCs/>
      <w:color w:val="24689B"/>
      <w:sz w:val="16"/>
      <w:szCs w:val="16"/>
    </w:rPr>
  </w:style>
  <w:style w:type="paragraph" w:styleId="FootnoteText">
    <w:name w:val="footnote text"/>
    <w:basedOn w:val="Normal"/>
    <w:link w:val="FootnoteTextChar"/>
    <w:rsid w:val="00646808"/>
    <w:rPr>
      <w:sz w:val="20"/>
      <w:szCs w:val="20"/>
    </w:rPr>
  </w:style>
  <w:style w:type="character" w:customStyle="1" w:styleId="FootnoteTextChar">
    <w:name w:val="Footnote Text Char"/>
    <w:basedOn w:val="DefaultParagraphFont"/>
    <w:link w:val="FootnoteText"/>
    <w:rsid w:val="00646808"/>
  </w:style>
  <w:style w:type="character" w:styleId="FootnoteReference">
    <w:name w:val="footnote reference"/>
    <w:basedOn w:val="DefaultParagraphFont"/>
    <w:rsid w:val="00646808"/>
    <w:rPr>
      <w:vertAlign w:val="superscript"/>
    </w:rPr>
  </w:style>
  <w:style w:type="character" w:customStyle="1" w:styleId="highlightred">
    <w:name w:val="highlightred"/>
    <w:basedOn w:val="DefaultParagraphFont"/>
    <w:rsid w:val="00D450FC"/>
  </w:style>
  <w:style w:type="character" w:customStyle="1" w:styleId="spct">
    <w:name w:val="s_pct"/>
    <w:basedOn w:val="DefaultParagraphFont"/>
    <w:rsid w:val="00BC6F51"/>
  </w:style>
  <w:style w:type="character" w:customStyle="1" w:styleId="spctttl">
    <w:name w:val="s_pct_ttl"/>
    <w:basedOn w:val="DefaultParagraphFont"/>
    <w:rsid w:val="00BC6F51"/>
  </w:style>
  <w:style w:type="character" w:customStyle="1" w:styleId="slit">
    <w:name w:val="s_lit"/>
    <w:basedOn w:val="DefaultParagraphFont"/>
    <w:rsid w:val="00BC6F51"/>
  </w:style>
  <w:style w:type="character" w:customStyle="1" w:styleId="slitttl">
    <w:name w:val="s_lit_ttl"/>
    <w:basedOn w:val="DefaultParagraphFont"/>
    <w:rsid w:val="00BC6F51"/>
  </w:style>
  <w:style w:type="character" w:customStyle="1" w:styleId="highlight">
    <w:name w:val="highlight"/>
    <w:basedOn w:val="DefaultParagraphFont"/>
    <w:rsid w:val="00BC6F51"/>
  </w:style>
</w:styles>
</file>

<file path=word/webSettings.xml><?xml version="1.0" encoding="utf-8"?>
<w:webSettings xmlns:r="http://schemas.openxmlformats.org/officeDocument/2006/relationships" xmlns:w="http://schemas.openxmlformats.org/wordprocessingml/2006/main">
  <w:divs>
    <w:div w:id="90510842">
      <w:bodyDiv w:val="1"/>
      <w:marLeft w:val="0"/>
      <w:marRight w:val="0"/>
      <w:marTop w:val="0"/>
      <w:marBottom w:val="0"/>
      <w:divBdr>
        <w:top w:val="none" w:sz="0" w:space="0" w:color="auto"/>
        <w:left w:val="none" w:sz="0" w:space="0" w:color="auto"/>
        <w:bottom w:val="none" w:sz="0" w:space="0" w:color="auto"/>
        <w:right w:val="none" w:sz="0" w:space="0" w:color="auto"/>
      </w:divBdr>
    </w:div>
    <w:div w:id="116026108">
      <w:bodyDiv w:val="1"/>
      <w:marLeft w:val="0"/>
      <w:marRight w:val="0"/>
      <w:marTop w:val="0"/>
      <w:marBottom w:val="0"/>
      <w:divBdr>
        <w:top w:val="none" w:sz="0" w:space="0" w:color="auto"/>
        <w:left w:val="none" w:sz="0" w:space="0" w:color="auto"/>
        <w:bottom w:val="none" w:sz="0" w:space="0" w:color="auto"/>
        <w:right w:val="none" w:sz="0" w:space="0" w:color="auto"/>
      </w:divBdr>
      <w:divsChild>
        <w:div w:id="785733638">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155923308">
      <w:bodyDiv w:val="1"/>
      <w:marLeft w:val="0"/>
      <w:marRight w:val="0"/>
      <w:marTop w:val="0"/>
      <w:marBottom w:val="0"/>
      <w:divBdr>
        <w:top w:val="none" w:sz="0" w:space="0" w:color="auto"/>
        <w:left w:val="none" w:sz="0" w:space="0" w:color="auto"/>
        <w:bottom w:val="none" w:sz="0" w:space="0" w:color="auto"/>
        <w:right w:val="none" w:sz="0" w:space="0" w:color="auto"/>
      </w:divBdr>
    </w:div>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369649691">
      <w:bodyDiv w:val="1"/>
      <w:marLeft w:val="0"/>
      <w:marRight w:val="0"/>
      <w:marTop w:val="0"/>
      <w:marBottom w:val="0"/>
      <w:divBdr>
        <w:top w:val="none" w:sz="0" w:space="0" w:color="auto"/>
        <w:left w:val="none" w:sz="0" w:space="0" w:color="auto"/>
        <w:bottom w:val="none" w:sz="0" w:space="0" w:color="auto"/>
        <w:right w:val="none" w:sz="0" w:space="0" w:color="auto"/>
      </w:divBdr>
    </w:div>
    <w:div w:id="379281709">
      <w:bodyDiv w:val="1"/>
      <w:marLeft w:val="0"/>
      <w:marRight w:val="0"/>
      <w:marTop w:val="0"/>
      <w:marBottom w:val="0"/>
      <w:divBdr>
        <w:top w:val="none" w:sz="0" w:space="0" w:color="auto"/>
        <w:left w:val="none" w:sz="0" w:space="0" w:color="auto"/>
        <w:bottom w:val="none" w:sz="0" w:space="0" w:color="auto"/>
        <w:right w:val="none" w:sz="0" w:space="0" w:color="auto"/>
      </w:divBdr>
    </w:div>
    <w:div w:id="469444208">
      <w:bodyDiv w:val="1"/>
      <w:marLeft w:val="0"/>
      <w:marRight w:val="0"/>
      <w:marTop w:val="0"/>
      <w:marBottom w:val="0"/>
      <w:divBdr>
        <w:top w:val="none" w:sz="0" w:space="0" w:color="auto"/>
        <w:left w:val="none" w:sz="0" w:space="0" w:color="auto"/>
        <w:bottom w:val="none" w:sz="0" w:space="0" w:color="auto"/>
        <w:right w:val="none" w:sz="0" w:space="0" w:color="auto"/>
      </w:divBdr>
    </w:div>
    <w:div w:id="541137091">
      <w:bodyDiv w:val="1"/>
      <w:marLeft w:val="0"/>
      <w:marRight w:val="0"/>
      <w:marTop w:val="0"/>
      <w:marBottom w:val="0"/>
      <w:divBdr>
        <w:top w:val="none" w:sz="0" w:space="0" w:color="auto"/>
        <w:left w:val="none" w:sz="0" w:space="0" w:color="auto"/>
        <w:bottom w:val="none" w:sz="0" w:space="0" w:color="auto"/>
        <w:right w:val="none" w:sz="0" w:space="0" w:color="auto"/>
      </w:divBdr>
      <w:divsChild>
        <w:div w:id="1896549004">
          <w:marLeft w:val="188"/>
          <w:marRight w:val="0"/>
          <w:marTop w:val="0"/>
          <w:marBottom w:val="0"/>
          <w:divBdr>
            <w:top w:val="dotted" w:sz="4" w:space="0" w:color="FEFEFE"/>
            <w:left w:val="dotted" w:sz="4" w:space="9" w:color="FEFEFE"/>
            <w:bottom w:val="dotted" w:sz="4" w:space="0" w:color="FEFEFE"/>
            <w:right w:val="dotted" w:sz="4" w:space="0" w:color="FEFEFE"/>
          </w:divBdr>
          <w:divsChild>
            <w:div w:id="2137139805">
              <w:marLeft w:val="188"/>
              <w:marRight w:val="0"/>
              <w:marTop w:val="0"/>
              <w:marBottom w:val="0"/>
              <w:divBdr>
                <w:top w:val="dotted" w:sz="4" w:space="0" w:color="FEFEFE"/>
                <w:left w:val="dotted" w:sz="4" w:space="9" w:color="FEFEFE"/>
                <w:bottom w:val="dotted" w:sz="4" w:space="0" w:color="FEFEFE"/>
                <w:right w:val="dotted" w:sz="4" w:space="0" w:color="FEFEFE"/>
              </w:divBdr>
            </w:div>
            <w:div w:id="1152868188">
              <w:marLeft w:val="188"/>
              <w:marRight w:val="0"/>
              <w:marTop w:val="0"/>
              <w:marBottom w:val="0"/>
              <w:divBdr>
                <w:top w:val="dotted" w:sz="4" w:space="0" w:color="FEFEFE"/>
                <w:left w:val="dotted" w:sz="4" w:space="9" w:color="FEFEFE"/>
                <w:bottom w:val="dotted" w:sz="4" w:space="0" w:color="FEFEFE"/>
                <w:right w:val="dotted" w:sz="4" w:space="0" w:color="FEFEFE"/>
              </w:divBdr>
            </w:div>
            <w:div w:id="1636329106">
              <w:marLeft w:val="188"/>
              <w:marRight w:val="0"/>
              <w:marTop w:val="0"/>
              <w:marBottom w:val="0"/>
              <w:divBdr>
                <w:top w:val="dotted" w:sz="4" w:space="0" w:color="FEFEFE"/>
                <w:left w:val="dotted" w:sz="4" w:space="9" w:color="FEFEFE"/>
                <w:bottom w:val="dotted" w:sz="4" w:space="0" w:color="FEFEFE"/>
                <w:right w:val="dotted" w:sz="4" w:space="0" w:color="FEFEFE"/>
              </w:divBdr>
            </w:div>
            <w:div w:id="215630492">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sChild>
    </w:div>
    <w:div w:id="635767216">
      <w:bodyDiv w:val="1"/>
      <w:marLeft w:val="0"/>
      <w:marRight w:val="0"/>
      <w:marTop w:val="0"/>
      <w:marBottom w:val="0"/>
      <w:divBdr>
        <w:top w:val="none" w:sz="0" w:space="0" w:color="auto"/>
        <w:left w:val="none" w:sz="0" w:space="0" w:color="auto"/>
        <w:bottom w:val="none" w:sz="0" w:space="0" w:color="auto"/>
        <w:right w:val="none" w:sz="0" w:space="0" w:color="auto"/>
      </w:divBdr>
    </w:div>
    <w:div w:id="877931737">
      <w:bodyDiv w:val="1"/>
      <w:marLeft w:val="0"/>
      <w:marRight w:val="0"/>
      <w:marTop w:val="0"/>
      <w:marBottom w:val="0"/>
      <w:divBdr>
        <w:top w:val="none" w:sz="0" w:space="0" w:color="auto"/>
        <w:left w:val="none" w:sz="0" w:space="0" w:color="auto"/>
        <w:bottom w:val="none" w:sz="0" w:space="0" w:color="auto"/>
        <w:right w:val="none" w:sz="0" w:space="0" w:color="auto"/>
      </w:divBdr>
    </w:div>
    <w:div w:id="889416038">
      <w:bodyDiv w:val="1"/>
      <w:marLeft w:val="0"/>
      <w:marRight w:val="0"/>
      <w:marTop w:val="0"/>
      <w:marBottom w:val="0"/>
      <w:divBdr>
        <w:top w:val="none" w:sz="0" w:space="0" w:color="auto"/>
        <w:left w:val="none" w:sz="0" w:space="0" w:color="auto"/>
        <w:bottom w:val="none" w:sz="0" w:space="0" w:color="auto"/>
        <w:right w:val="none" w:sz="0" w:space="0" w:color="auto"/>
      </w:divBdr>
      <w:divsChild>
        <w:div w:id="978654434">
          <w:marLeft w:val="188"/>
          <w:marRight w:val="0"/>
          <w:marTop w:val="0"/>
          <w:marBottom w:val="0"/>
          <w:divBdr>
            <w:top w:val="dotted" w:sz="4" w:space="0" w:color="FEFEFE"/>
            <w:left w:val="dotted" w:sz="4" w:space="9" w:color="FEFEFE"/>
            <w:bottom w:val="dotted" w:sz="4" w:space="0" w:color="FEFEFE"/>
            <w:right w:val="dotted" w:sz="4" w:space="0" w:color="FEFEFE"/>
          </w:divBdr>
          <w:divsChild>
            <w:div w:id="358160983">
              <w:marLeft w:val="188"/>
              <w:marRight w:val="0"/>
              <w:marTop w:val="0"/>
              <w:marBottom w:val="0"/>
              <w:divBdr>
                <w:top w:val="dotted" w:sz="4" w:space="0" w:color="FEFEFE"/>
                <w:left w:val="dotted" w:sz="4" w:space="9" w:color="FEFEFE"/>
                <w:bottom w:val="dotted" w:sz="4" w:space="0" w:color="FEFEFE"/>
                <w:right w:val="dotted" w:sz="4" w:space="0" w:color="FEFEFE"/>
              </w:divBdr>
            </w:div>
            <w:div w:id="131946872">
              <w:marLeft w:val="188"/>
              <w:marRight w:val="0"/>
              <w:marTop w:val="0"/>
              <w:marBottom w:val="0"/>
              <w:divBdr>
                <w:top w:val="dotted" w:sz="4" w:space="0" w:color="FEFEFE"/>
                <w:left w:val="dotted" w:sz="4" w:space="9" w:color="FEFEFE"/>
                <w:bottom w:val="dotted" w:sz="4" w:space="0" w:color="FEFEFE"/>
                <w:right w:val="dotted" w:sz="4" w:space="0" w:color="FEFEFE"/>
              </w:divBdr>
            </w:div>
            <w:div w:id="1970893857">
              <w:marLeft w:val="188"/>
              <w:marRight w:val="0"/>
              <w:marTop w:val="0"/>
              <w:marBottom w:val="0"/>
              <w:divBdr>
                <w:top w:val="dotted" w:sz="4" w:space="0" w:color="FEFEFE"/>
                <w:left w:val="dotted" w:sz="4" w:space="9" w:color="FEFEFE"/>
                <w:bottom w:val="dotted" w:sz="4" w:space="0" w:color="FEFEFE"/>
                <w:right w:val="dotted" w:sz="4" w:space="0" w:color="FEFEFE"/>
              </w:divBdr>
            </w:div>
            <w:div w:id="1191912045">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sChild>
    </w:div>
    <w:div w:id="893467777">
      <w:bodyDiv w:val="1"/>
      <w:marLeft w:val="0"/>
      <w:marRight w:val="0"/>
      <w:marTop w:val="0"/>
      <w:marBottom w:val="0"/>
      <w:divBdr>
        <w:top w:val="none" w:sz="0" w:space="0" w:color="auto"/>
        <w:left w:val="none" w:sz="0" w:space="0" w:color="auto"/>
        <w:bottom w:val="none" w:sz="0" w:space="0" w:color="auto"/>
        <w:right w:val="none" w:sz="0" w:space="0" w:color="auto"/>
      </w:divBdr>
    </w:div>
    <w:div w:id="901135705">
      <w:bodyDiv w:val="1"/>
      <w:marLeft w:val="0"/>
      <w:marRight w:val="0"/>
      <w:marTop w:val="0"/>
      <w:marBottom w:val="0"/>
      <w:divBdr>
        <w:top w:val="none" w:sz="0" w:space="0" w:color="auto"/>
        <w:left w:val="none" w:sz="0" w:space="0" w:color="auto"/>
        <w:bottom w:val="none" w:sz="0" w:space="0" w:color="auto"/>
        <w:right w:val="none" w:sz="0" w:space="0" w:color="auto"/>
      </w:divBdr>
    </w:div>
    <w:div w:id="1010136607">
      <w:bodyDiv w:val="1"/>
      <w:marLeft w:val="0"/>
      <w:marRight w:val="0"/>
      <w:marTop w:val="0"/>
      <w:marBottom w:val="0"/>
      <w:divBdr>
        <w:top w:val="none" w:sz="0" w:space="0" w:color="auto"/>
        <w:left w:val="none" w:sz="0" w:space="0" w:color="auto"/>
        <w:bottom w:val="none" w:sz="0" w:space="0" w:color="auto"/>
        <w:right w:val="none" w:sz="0" w:space="0" w:color="auto"/>
      </w:divBdr>
    </w:div>
    <w:div w:id="1078207571">
      <w:bodyDiv w:val="1"/>
      <w:marLeft w:val="0"/>
      <w:marRight w:val="0"/>
      <w:marTop w:val="0"/>
      <w:marBottom w:val="0"/>
      <w:divBdr>
        <w:top w:val="none" w:sz="0" w:space="0" w:color="auto"/>
        <w:left w:val="none" w:sz="0" w:space="0" w:color="auto"/>
        <w:bottom w:val="none" w:sz="0" w:space="0" w:color="auto"/>
        <w:right w:val="none" w:sz="0" w:space="0" w:color="auto"/>
      </w:divBdr>
    </w:div>
    <w:div w:id="1095053248">
      <w:bodyDiv w:val="1"/>
      <w:marLeft w:val="0"/>
      <w:marRight w:val="0"/>
      <w:marTop w:val="0"/>
      <w:marBottom w:val="0"/>
      <w:divBdr>
        <w:top w:val="none" w:sz="0" w:space="0" w:color="auto"/>
        <w:left w:val="none" w:sz="0" w:space="0" w:color="auto"/>
        <w:bottom w:val="none" w:sz="0" w:space="0" w:color="auto"/>
        <w:right w:val="none" w:sz="0" w:space="0" w:color="auto"/>
      </w:divBdr>
    </w:div>
    <w:div w:id="1164122162">
      <w:bodyDiv w:val="1"/>
      <w:marLeft w:val="0"/>
      <w:marRight w:val="0"/>
      <w:marTop w:val="0"/>
      <w:marBottom w:val="0"/>
      <w:divBdr>
        <w:top w:val="none" w:sz="0" w:space="0" w:color="auto"/>
        <w:left w:val="none" w:sz="0" w:space="0" w:color="auto"/>
        <w:bottom w:val="none" w:sz="0" w:space="0" w:color="auto"/>
        <w:right w:val="none" w:sz="0" w:space="0" w:color="auto"/>
      </w:divBdr>
    </w:div>
    <w:div w:id="1197890113">
      <w:bodyDiv w:val="1"/>
      <w:marLeft w:val="0"/>
      <w:marRight w:val="0"/>
      <w:marTop w:val="0"/>
      <w:marBottom w:val="0"/>
      <w:divBdr>
        <w:top w:val="none" w:sz="0" w:space="0" w:color="auto"/>
        <w:left w:val="none" w:sz="0" w:space="0" w:color="auto"/>
        <w:bottom w:val="none" w:sz="0" w:space="0" w:color="auto"/>
        <w:right w:val="none" w:sz="0" w:space="0" w:color="auto"/>
      </w:divBdr>
    </w:div>
    <w:div w:id="1267537055">
      <w:bodyDiv w:val="1"/>
      <w:marLeft w:val="0"/>
      <w:marRight w:val="0"/>
      <w:marTop w:val="0"/>
      <w:marBottom w:val="0"/>
      <w:divBdr>
        <w:top w:val="none" w:sz="0" w:space="0" w:color="auto"/>
        <w:left w:val="none" w:sz="0" w:space="0" w:color="auto"/>
        <w:bottom w:val="none" w:sz="0" w:space="0" w:color="auto"/>
        <w:right w:val="none" w:sz="0" w:space="0" w:color="auto"/>
      </w:divBdr>
      <w:divsChild>
        <w:div w:id="584265197">
          <w:marLeft w:val="188"/>
          <w:marRight w:val="0"/>
          <w:marTop w:val="0"/>
          <w:marBottom w:val="0"/>
          <w:divBdr>
            <w:top w:val="dotted" w:sz="4" w:space="0" w:color="FEFEFE"/>
            <w:left w:val="dotted" w:sz="4" w:space="9" w:color="FEFEFE"/>
            <w:bottom w:val="dotted" w:sz="4" w:space="0" w:color="FEFEFE"/>
            <w:right w:val="dotted" w:sz="4" w:space="0" w:color="FEFEFE"/>
          </w:divBdr>
        </w:div>
        <w:div w:id="1803621613">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1268192561">
      <w:bodyDiv w:val="1"/>
      <w:marLeft w:val="0"/>
      <w:marRight w:val="0"/>
      <w:marTop w:val="0"/>
      <w:marBottom w:val="0"/>
      <w:divBdr>
        <w:top w:val="none" w:sz="0" w:space="0" w:color="auto"/>
        <w:left w:val="none" w:sz="0" w:space="0" w:color="auto"/>
        <w:bottom w:val="none" w:sz="0" w:space="0" w:color="auto"/>
        <w:right w:val="none" w:sz="0" w:space="0" w:color="auto"/>
      </w:divBdr>
    </w:div>
    <w:div w:id="1365446960">
      <w:bodyDiv w:val="1"/>
      <w:marLeft w:val="0"/>
      <w:marRight w:val="0"/>
      <w:marTop w:val="0"/>
      <w:marBottom w:val="0"/>
      <w:divBdr>
        <w:top w:val="none" w:sz="0" w:space="0" w:color="auto"/>
        <w:left w:val="none" w:sz="0" w:space="0" w:color="auto"/>
        <w:bottom w:val="none" w:sz="0" w:space="0" w:color="auto"/>
        <w:right w:val="none" w:sz="0" w:space="0" w:color="auto"/>
      </w:divBdr>
    </w:div>
    <w:div w:id="1411853444">
      <w:bodyDiv w:val="1"/>
      <w:marLeft w:val="0"/>
      <w:marRight w:val="0"/>
      <w:marTop w:val="0"/>
      <w:marBottom w:val="0"/>
      <w:divBdr>
        <w:top w:val="none" w:sz="0" w:space="0" w:color="auto"/>
        <w:left w:val="none" w:sz="0" w:space="0" w:color="auto"/>
        <w:bottom w:val="none" w:sz="0" w:space="0" w:color="auto"/>
        <w:right w:val="none" w:sz="0" w:space="0" w:color="auto"/>
      </w:divBdr>
    </w:div>
    <w:div w:id="1443762400">
      <w:bodyDiv w:val="1"/>
      <w:marLeft w:val="0"/>
      <w:marRight w:val="0"/>
      <w:marTop w:val="0"/>
      <w:marBottom w:val="0"/>
      <w:divBdr>
        <w:top w:val="none" w:sz="0" w:space="0" w:color="auto"/>
        <w:left w:val="none" w:sz="0" w:space="0" w:color="auto"/>
        <w:bottom w:val="none" w:sz="0" w:space="0" w:color="auto"/>
        <w:right w:val="none" w:sz="0" w:space="0" w:color="auto"/>
      </w:divBdr>
    </w:div>
    <w:div w:id="1446121728">
      <w:bodyDiv w:val="1"/>
      <w:marLeft w:val="0"/>
      <w:marRight w:val="0"/>
      <w:marTop w:val="0"/>
      <w:marBottom w:val="0"/>
      <w:divBdr>
        <w:top w:val="none" w:sz="0" w:space="0" w:color="auto"/>
        <w:left w:val="none" w:sz="0" w:space="0" w:color="auto"/>
        <w:bottom w:val="none" w:sz="0" w:space="0" w:color="auto"/>
        <w:right w:val="none" w:sz="0" w:space="0" w:color="auto"/>
      </w:divBdr>
    </w:div>
    <w:div w:id="1462723763">
      <w:bodyDiv w:val="1"/>
      <w:marLeft w:val="0"/>
      <w:marRight w:val="0"/>
      <w:marTop w:val="0"/>
      <w:marBottom w:val="0"/>
      <w:divBdr>
        <w:top w:val="none" w:sz="0" w:space="0" w:color="auto"/>
        <w:left w:val="none" w:sz="0" w:space="0" w:color="auto"/>
        <w:bottom w:val="none" w:sz="0" w:space="0" w:color="auto"/>
        <w:right w:val="none" w:sz="0" w:space="0" w:color="auto"/>
      </w:divBdr>
    </w:div>
    <w:div w:id="1524519026">
      <w:bodyDiv w:val="1"/>
      <w:marLeft w:val="0"/>
      <w:marRight w:val="0"/>
      <w:marTop w:val="0"/>
      <w:marBottom w:val="0"/>
      <w:divBdr>
        <w:top w:val="none" w:sz="0" w:space="0" w:color="auto"/>
        <w:left w:val="none" w:sz="0" w:space="0" w:color="auto"/>
        <w:bottom w:val="none" w:sz="0" w:space="0" w:color="auto"/>
        <w:right w:val="none" w:sz="0" w:space="0" w:color="auto"/>
      </w:divBdr>
      <w:divsChild>
        <w:div w:id="1059283490">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1596939767">
      <w:bodyDiv w:val="1"/>
      <w:marLeft w:val="0"/>
      <w:marRight w:val="0"/>
      <w:marTop w:val="0"/>
      <w:marBottom w:val="0"/>
      <w:divBdr>
        <w:top w:val="none" w:sz="0" w:space="0" w:color="auto"/>
        <w:left w:val="none" w:sz="0" w:space="0" w:color="auto"/>
        <w:bottom w:val="none" w:sz="0" w:space="0" w:color="auto"/>
        <w:right w:val="none" w:sz="0" w:space="0" w:color="auto"/>
      </w:divBdr>
    </w:div>
    <w:div w:id="1624338745">
      <w:bodyDiv w:val="1"/>
      <w:marLeft w:val="0"/>
      <w:marRight w:val="0"/>
      <w:marTop w:val="0"/>
      <w:marBottom w:val="0"/>
      <w:divBdr>
        <w:top w:val="none" w:sz="0" w:space="0" w:color="auto"/>
        <w:left w:val="none" w:sz="0" w:space="0" w:color="auto"/>
        <w:bottom w:val="none" w:sz="0" w:space="0" w:color="auto"/>
        <w:right w:val="none" w:sz="0" w:space="0" w:color="auto"/>
      </w:divBdr>
    </w:div>
    <w:div w:id="1704012400">
      <w:bodyDiv w:val="1"/>
      <w:marLeft w:val="0"/>
      <w:marRight w:val="0"/>
      <w:marTop w:val="0"/>
      <w:marBottom w:val="0"/>
      <w:divBdr>
        <w:top w:val="none" w:sz="0" w:space="0" w:color="auto"/>
        <w:left w:val="none" w:sz="0" w:space="0" w:color="auto"/>
        <w:bottom w:val="none" w:sz="0" w:space="0" w:color="auto"/>
        <w:right w:val="none" w:sz="0" w:space="0" w:color="auto"/>
      </w:divBdr>
    </w:div>
    <w:div w:id="1716274556">
      <w:bodyDiv w:val="1"/>
      <w:marLeft w:val="0"/>
      <w:marRight w:val="0"/>
      <w:marTop w:val="0"/>
      <w:marBottom w:val="0"/>
      <w:divBdr>
        <w:top w:val="none" w:sz="0" w:space="0" w:color="auto"/>
        <w:left w:val="none" w:sz="0" w:space="0" w:color="auto"/>
        <w:bottom w:val="none" w:sz="0" w:space="0" w:color="auto"/>
        <w:right w:val="none" w:sz="0" w:space="0" w:color="auto"/>
      </w:divBdr>
    </w:div>
    <w:div w:id="1899589583">
      <w:bodyDiv w:val="1"/>
      <w:marLeft w:val="0"/>
      <w:marRight w:val="0"/>
      <w:marTop w:val="0"/>
      <w:marBottom w:val="0"/>
      <w:divBdr>
        <w:top w:val="none" w:sz="0" w:space="0" w:color="auto"/>
        <w:left w:val="none" w:sz="0" w:space="0" w:color="auto"/>
        <w:bottom w:val="none" w:sz="0" w:space="0" w:color="auto"/>
        <w:right w:val="none" w:sz="0" w:space="0" w:color="auto"/>
      </w:divBdr>
    </w:div>
    <w:div w:id="1924948902">
      <w:bodyDiv w:val="1"/>
      <w:marLeft w:val="0"/>
      <w:marRight w:val="0"/>
      <w:marTop w:val="0"/>
      <w:marBottom w:val="0"/>
      <w:divBdr>
        <w:top w:val="none" w:sz="0" w:space="0" w:color="auto"/>
        <w:left w:val="none" w:sz="0" w:space="0" w:color="auto"/>
        <w:bottom w:val="none" w:sz="0" w:space="0" w:color="auto"/>
        <w:right w:val="none" w:sz="0" w:space="0" w:color="auto"/>
      </w:divBdr>
      <w:divsChild>
        <w:div w:id="1692956263">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1989967352">
      <w:bodyDiv w:val="1"/>
      <w:marLeft w:val="0"/>
      <w:marRight w:val="0"/>
      <w:marTop w:val="0"/>
      <w:marBottom w:val="0"/>
      <w:divBdr>
        <w:top w:val="none" w:sz="0" w:space="0" w:color="auto"/>
        <w:left w:val="none" w:sz="0" w:space="0" w:color="auto"/>
        <w:bottom w:val="none" w:sz="0" w:space="0" w:color="auto"/>
        <w:right w:val="none" w:sz="0" w:space="0" w:color="auto"/>
      </w:divBdr>
    </w:div>
    <w:div w:id="2037542596">
      <w:bodyDiv w:val="1"/>
      <w:marLeft w:val="0"/>
      <w:marRight w:val="0"/>
      <w:marTop w:val="0"/>
      <w:marBottom w:val="0"/>
      <w:divBdr>
        <w:top w:val="none" w:sz="0" w:space="0" w:color="auto"/>
        <w:left w:val="none" w:sz="0" w:space="0" w:color="auto"/>
        <w:bottom w:val="none" w:sz="0" w:space="0" w:color="auto"/>
        <w:right w:val="none" w:sz="0" w:space="0" w:color="auto"/>
      </w:divBdr>
    </w:div>
    <w:div w:id="2038239220">
      <w:bodyDiv w:val="1"/>
      <w:marLeft w:val="0"/>
      <w:marRight w:val="0"/>
      <w:marTop w:val="0"/>
      <w:marBottom w:val="0"/>
      <w:divBdr>
        <w:top w:val="none" w:sz="0" w:space="0" w:color="auto"/>
        <w:left w:val="none" w:sz="0" w:space="0" w:color="auto"/>
        <w:bottom w:val="none" w:sz="0" w:space="0" w:color="auto"/>
        <w:right w:val="none" w:sz="0" w:space="0" w:color="auto"/>
      </w:divBdr>
    </w:div>
    <w:div w:id="2067951528">
      <w:bodyDiv w:val="1"/>
      <w:marLeft w:val="0"/>
      <w:marRight w:val="0"/>
      <w:marTop w:val="0"/>
      <w:marBottom w:val="0"/>
      <w:divBdr>
        <w:top w:val="none" w:sz="0" w:space="0" w:color="auto"/>
        <w:left w:val="none" w:sz="0" w:space="0" w:color="auto"/>
        <w:bottom w:val="none" w:sz="0" w:space="0" w:color="auto"/>
        <w:right w:val="none" w:sz="0" w:space="0" w:color="auto"/>
      </w:divBdr>
      <w:divsChild>
        <w:div w:id="813643116">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2099981863">
      <w:bodyDiv w:val="1"/>
      <w:marLeft w:val="0"/>
      <w:marRight w:val="0"/>
      <w:marTop w:val="0"/>
      <w:marBottom w:val="0"/>
      <w:divBdr>
        <w:top w:val="none" w:sz="0" w:space="0" w:color="auto"/>
        <w:left w:val="none" w:sz="0" w:space="0" w:color="auto"/>
        <w:bottom w:val="none" w:sz="0" w:space="0" w:color="auto"/>
        <w:right w:val="none" w:sz="0" w:space="0" w:color="auto"/>
      </w:divBdr>
      <w:divsChild>
        <w:div w:id="1857422316">
          <w:marLeft w:val="188"/>
          <w:marRight w:val="0"/>
          <w:marTop w:val="0"/>
          <w:marBottom w:val="0"/>
          <w:divBdr>
            <w:top w:val="dotted" w:sz="4" w:space="0" w:color="FEFEFE"/>
            <w:left w:val="dotted" w:sz="4" w:space="9" w:color="FEFEFE"/>
            <w:bottom w:val="dotted" w:sz="4" w:space="0" w:color="FEFEFE"/>
            <w:right w:val="dotted" w:sz="4" w:space="0" w:color="FEFEFE"/>
          </w:divBdr>
          <w:divsChild>
            <w:div w:id="721901975">
              <w:marLeft w:val="188"/>
              <w:marRight w:val="0"/>
              <w:marTop w:val="0"/>
              <w:marBottom w:val="0"/>
              <w:divBdr>
                <w:top w:val="dotted" w:sz="4" w:space="0" w:color="FEFEFE"/>
                <w:left w:val="dotted" w:sz="4" w:space="9" w:color="FEFEFE"/>
                <w:bottom w:val="dotted" w:sz="4" w:space="0" w:color="FEFEFE"/>
                <w:right w:val="dotted" w:sz="4" w:space="0" w:color="FEFEFE"/>
              </w:divBdr>
            </w:div>
            <w:div w:id="108663792">
              <w:marLeft w:val="188"/>
              <w:marRight w:val="0"/>
              <w:marTop w:val="0"/>
              <w:marBottom w:val="0"/>
              <w:divBdr>
                <w:top w:val="dotted" w:sz="4" w:space="0" w:color="FEFEFE"/>
                <w:left w:val="dotted" w:sz="4" w:space="9" w:color="FEFEFE"/>
                <w:bottom w:val="dotted" w:sz="4" w:space="0" w:color="FEFEFE"/>
                <w:right w:val="dotted" w:sz="4" w:space="0" w:color="FEFEFE"/>
              </w:divBdr>
            </w:div>
            <w:div w:id="2053192853">
              <w:marLeft w:val="188"/>
              <w:marRight w:val="0"/>
              <w:marTop w:val="0"/>
              <w:marBottom w:val="0"/>
              <w:divBdr>
                <w:top w:val="dotted" w:sz="4" w:space="0" w:color="FEFEFE"/>
                <w:left w:val="dotted" w:sz="4" w:space="9" w:color="FEFEFE"/>
                <w:bottom w:val="dotted" w:sz="4" w:space="0" w:color="FEFEFE"/>
                <w:right w:val="dotted" w:sz="4" w:space="0" w:color="FEFEFE"/>
              </w:divBdr>
            </w:div>
            <w:div w:id="1208252741">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sChild>
    </w:div>
    <w:div w:id="2119178206">
      <w:bodyDiv w:val="1"/>
      <w:marLeft w:val="0"/>
      <w:marRight w:val="0"/>
      <w:marTop w:val="0"/>
      <w:marBottom w:val="0"/>
      <w:divBdr>
        <w:top w:val="none" w:sz="0" w:space="0" w:color="auto"/>
        <w:left w:val="none" w:sz="0" w:space="0" w:color="auto"/>
        <w:bottom w:val="none" w:sz="0" w:space="0" w:color="auto"/>
        <w:right w:val="none" w:sz="0" w:space="0" w:color="auto"/>
      </w:divBdr>
      <w:divsChild>
        <w:div w:id="1601061372">
          <w:marLeft w:val="188"/>
          <w:marRight w:val="0"/>
          <w:marTop w:val="0"/>
          <w:marBottom w:val="0"/>
          <w:divBdr>
            <w:top w:val="dotted" w:sz="4" w:space="0" w:color="FEFEFE"/>
            <w:left w:val="dotted" w:sz="4" w:space="9" w:color="FEFEFE"/>
            <w:bottom w:val="dotted" w:sz="4" w:space="0" w:color="FEFEFE"/>
            <w:right w:val="dotted" w:sz="4" w:space="0" w:color="FEFEFE"/>
          </w:divBdr>
          <w:divsChild>
            <w:div w:id="788353977">
              <w:marLeft w:val="188"/>
              <w:marRight w:val="0"/>
              <w:marTop w:val="0"/>
              <w:marBottom w:val="0"/>
              <w:divBdr>
                <w:top w:val="dotted" w:sz="4" w:space="0" w:color="FEFEFE"/>
                <w:left w:val="dotted" w:sz="4" w:space="9" w:color="FEFEFE"/>
                <w:bottom w:val="dotted" w:sz="4" w:space="0" w:color="FEFEFE"/>
                <w:right w:val="dotted" w:sz="4" w:space="0" w:color="FEFEFE"/>
              </w:divBdr>
            </w:div>
            <w:div w:id="141777179">
              <w:marLeft w:val="188"/>
              <w:marRight w:val="0"/>
              <w:marTop w:val="0"/>
              <w:marBottom w:val="0"/>
              <w:divBdr>
                <w:top w:val="dotted" w:sz="4" w:space="0" w:color="FEFEFE"/>
                <w:left w:val="dotted" w:sz="4" w:space="9" w:color="FEFEFE"/>
                <w:bottom w:val="dotted" w:sz="4" w:space="0" w:color="FEFEFE"/>
                <w:right w:val="dotted" w:sz="4" w:space="0" w:color="FEFEFE"/>
              </w:divBdr>
            </w:div>
            <w:div w:id="7409492">
              <w:marLeft w:val="188"/>
              <w:marRight w:val="0"/>
              <w:marTop w:val="0"/>
              <w:marBottom w:val="0"/>
              <w:divBdr>
                <w:top w:val="dotted" w:sz="4" w:space="0" w:color="FEFEFE"/>
                <w:left w:val="dotted" w:sz="4" w:space="9" w:color="FEFEFE"/>
                <w:bottom w:val="dotted" w:sz="4" w:space="0" w:color="FEFEFE"/>
                <w:right w:val="dotted" w:sz="4" w:space="0" w:color="FEFEFE"/>
              </w:divBdr>
            </w:div>
            <w:div w:id="555701687">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sChild>
    </w:div>
    <w:div w:id="2120489460">
      <w:bodyDiv w:val="1"/>
      <w:marLeft w:val="0"/>
      <w:marRight w:val="0"/>
      <w:marTop w:val="0"/>
      <w:marBottom w:val="0"/>
      <w:divBdr>
        <w:top w:val="none" w:sz="0" w:space="0" w:color="auto"/>
        <w:left w:val="none" w:sz="0" w:space="0" w:color="auto"/>
        <w:bottom w:val="none" w:sz="0" w:space="0" w:color="auto"/>
        <w:right w:val="none" w:sz="0" w:space="0" w:color="auto"/>
      </w:divBdr>
    </w:div>
    <w:div w:id="213405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89438-8569-4A99-B20E-7C48DF255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6</Pages>
  <Words>2009</Words>
  <Characters>11656</Characters>
  <Application>Microsoft Office Word</Application>
  <DocSecurity>0</DocSecurity>
  <Lines>97</Lines>
  <Paragraphs>27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13638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Sasa.Lovin</cp:lastModifiedBy>
  <cp:revision>8</cp:revision>
  <cp:lastPrinted>2023-07-24T11:37:00Z</cp:lastPrinted>
  <dcterms:created xsi:type="dcterms:W3CDTF">2023-07-21T09:02:00Z</dcterms:created>
  <dcterms:modified xsi:type="dcterms:W3CDTF">2023-07-24T12:32:00Z</dcterms:modified>
</cp:coreProperties>
</file>