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01"/>
        <w:tblW w:w="10800" w:type="dxa"/>
        <w:tblLayout w:type="fixed"/>
        <w:tblLook w:val="0000"/>
      </w:tblPr>
      <w:tblGrid>
        <w:gridCol w:w="6142"/>
        <w:gridCol w:w="518"/>
        <w:gridCol w:w="3060"/>
        <w:gridCol w:w="1080"/>
      </w:tblGrid>
      <w:tr w:rsidR="006D2156" w:rsidRPr="00BA429F" w:rsidTr="006D2156">
        <w:trPr>
          <w:trHeight w:val="1435"/>
        </w:trPr>
        <w:tc>
          <w:tcPr>
            <w:tcW w:w="6142" w:type="dxa"/>
            <w:tcBorders>
              <w:bottom w:val="single" w:sz="4" w:space="0" w:color="auto"/>
            </w:tcBorders>
            <w:shd w:val="clear" w:color="auto" w:fill="auto"/>
          </w:tcPr>
          <w:p w:rsidR="006D2156" w:rsidRPr="00BA429F" w:rsidRDefault="006D2156" w:rsidP="006D2156">
            <w:pPr>
              <w:jc w:val="both"/>
              <w:rPr>
                <w:b/>
              </w:rPr>
            </w:pPr>
            <w:r w:rsidRPr="00BA429F">
              <w:rPr>
                <w:b/>
                <w:sz w:val="22"/>
                <w:szCs w:val="22"/>
              </w:rPr>
              <w:t>ROMANIA</w:t>
            </w:r>
          </w:p>
          <w:p w:rsidR="006D2156" w:rsidRPr="00BA429F" w:rsidRDefault="006D2156" w:rsidP="006D2156">
            <w:pPr>
              <w:jc w:val="both"/>
              <w:rPr>
                <w:b/>
              </w:rPr>
            </w:pPr>
            <w:r w:rsidRPr="00BA429F">
              <w:rPr>
                <w:b/>
                <w:sz w:val="22"/>
                <w:szCs w:val="22"/>
              </w:rPr>
              <w:t>JUDEŢUL TIMIŞ</w:t>
            </w:r>
          </w:p>
          <w:p w:rsidR="006D2156" w:rsidRPr="00BA429F" w:rsidRDefault="006D2156" w:rsidP="006D2156">
            <w:pPr>
              <w:jc w:val="both"/>
              <w:rPr>
                <w:b/>
              </w:rPr>
            </w:pPr>
            <w:r w:rsidRPr="00BA429F">
              <w:rPr>
                <w:b/>
                <w:sz w:val="22"/>
                <w:szCs w:val="22"/>
              </w:rPr>
              <w:t>MUNICIPIUL TIMIŞOARA</w:t>
            </w:r>
          </w:p>
          <w:p w:rsidR="006D2156" w:rsidRPr="00BA429F" w:rsidRDefault="006D2156" w:rsidP="006D2156">
            <w:pPr>
              <w:rPr>
                <w:b/>
              </w:rPr>
            </w:pPr>
            <w:r w:rsidRPr="00BA429F">
              <w:rPr>
                <w:b/>
                <w:sz w:val="22"/>
                <w:szCs w:val="22"/>
              </w:rPr>
              <w:t>PRIMAR</w:t>
            </w:r>
          </w:p>
          <w:p w:rsidR="006D2156" w:rsidRPr="00BA429F" w:rsidRDefault="006D2156" w:rsidP="00611910">
            <w:pPr>
              <w:jc w:val="both"/>
            </w:pPr>
            <w:r w:rsidRPr="00BA429F">
              <w:rPr>
                <w:sz w:val="22"/>
                <w:szCs w:val="22"/>
              </w:rPr>
              <w:t>SC20</w:t>
            </w:r>
            <w:r w:rsidR="00852A88" w:rsidRPr="00BA429F">
              <w:rPr>
                <w:sz w:val="22"/>
                <w:szCs w:val="22"/>
              </w:rPr>
              <w:t>22</w:t>
            </w:r>
            <w:r w:rsidRPr="00BA429F">
              <w:rPr>
                <w:sz w:val="22"/>
                <w:szCs w:val="22"/>
              </w:rPr>
              <w:t>-</w:t>
            </w:r>
            <w:r w:rsidR="00571EEC">
              <w:rPr>
                <w:sz w:val="22"/>
                <w:szCs w:val="22"/>
              </w:rPr>
              <w:t>18530/25.07.2022</w:t>
            </w:r>
          </w:p>
        </w:tc>
        <w:tc>
          <w:tcPr>
            <w:tcW w:w="518" w:type="dxa"/>
            <w:tcBorders>
              <w:bottom w:val="single" w:sz="4" w:space="0" w:color="auto"/>
            </w:tcBorders>
            <w:shd w:val="clear" w:color="auto" w:fill="auto"/>
          </w:tcPr>
          <w:p w:rsidR="006D2156" w:rsidRPr="00BA429F" w:rsidRDefault="006D2156" w:rsidP="006D2156">
            <w:pPr>
              <w:jc w:val="both"/>
              <w:rPr>
                <w:sz w:val="6"/>
                <w:szCs w:val="6"/>
              </w:rPr>
            </w:pPr>
          </w:p>
        </w:tc>
        <w:tc>
          <w:tcPr>
            <w:tcW w:w="3060" w:type="dxa"/>
            <w:tcBorders>
              <w:bottom w:val="single" w:sz="4" w:space="0" w:color="auto"/>
            </w:tcBorders>
            <w:shd w:val="clear" w:color="auto" w:fill="auto"/>
          </w:tcPr>
          <w:p w:rsidR="006D2156" w:rsidRPr="00BA429F" w:rsidRDefault="006D2156" w:rsidP="006D2156">
            <w:pPr>
              <w:jc w:val="center"/>
            </w:pPr>
          </w:p>
          <w:p w:rsidR="006D2156" w:rsidRPr="00BA429F" w:rsidRDefault="006D2156" w:rsidP="006D2156">
            <w:pPr>
              <w:jc w:val="center"/>
            </w:pPr>
          </w:p>
        </w:tc>
        <w:tc>
          <w:tcPr>
            <w:tcW w:w="1080" w:type="dxa"/>
            <w:tcBorders>
              <w:bottom w:val="single" w:sz="4" w:space="0" w:color="auto"/>
            </w:tcBorders>
            <w:shd w:val="clear" w:color="auto" w:fill="auto"/>
          </w:tcPr>
          <w:p w:rsidR="006D2156" w:rsidRPr="00BA429F" w:rsidRDefault="006D2156" w:rsidP="006D2156">
            <w:pPr>
              <w:jc w:val="center"/>
            </w:pPr>
            <w:r w:rsidRPr="00BA429F">
              <w:rPr>
                <w:noProof/>
                <w:lang w:val="en-US" w:eastAsia="en-US"/>
              </w:rPr>
              <w:drawing>
                <wp:inline distT="0" distB="0" distL="0" distR="0">
                  <wp:extent cx="621030" cy="969010"/>
                  <wp:effectExtent l="19050" t="0" r="7620" b="0"/>
                  <wp:docPr id="3"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21030" cy="969010"/>
                          </a:xfrm>
                          <a:prstGeom prst="rect">
                            <a:avLst/>
                          </a:prstGeom>
                          <a:noFill/>
                          <a:ln w="9525">
                            <a:noFill/>
                            <a:miter lim="800000"/>
                            <a:headEnd/>
                            <a:tailEnd/>
                          </a:ln>
                        </pic:spPr>
                      </pic:pic>
                    </a:graphicData>
                  </a:graphic>
                </wp:inline>
              </w:drawing>
            </w:r>
          </w:p>
        </w:tc>
      </w:tr>
      <w:tr w:rsidR="006D2156" w:rsidRPr="00BA429F" w:rsidTr="006D2156">
        <w:trPr>
          <w:cantSplit/>
          <w:trHeight w:val="269"/>
        </w:trPr>
        <w:tc>
          <w:tcPr>
            <w:tcW w:w="10800" w:type="dxa"/>
            <w:gridSpan w:val="4"/>
            <w:tcBorders>
              <w:top w:val="single" w:sz="4" w:space="0" w:color="auto"/>
              <w:bottom w:val="single" w:sz="4" w:space="0" w:color="auto"/>
            </w:tcBorders>
            <w:shd w:val="clear" w:color="auto" w:fill="auto"/>
          </w:tcPr>
          <w:p w:rsidR="006D2156" w:rsidRPr="00BA429F" w:rsidRDefault="006D2156" w:rsidP="006D2156">
            <w:pPr>
              <w:jc w:val="center"/>
              <w:rPr>
                <w:b/>
                <w:i/>
                <w:sz w:val="6"/>
                <w:szCs w:val="6"/>
              </w:rPr>
            </w:pPr>
          </w:p>
          <w:p w:rsidR="006D2156" w:rsidRPr="00BA429F" w:rsidRDefault="006D2156" w:rsidP="006D2156">
            <w:pPr>
              <w:ind w:left="-223" w:right="-153"/>
              <w:jc w:val="center"/>
            </w:pPr>
            <w:r w:rsidRPr="00BA429F">
              <w:rPr>
                <w:b/>
                <w:i/>
                <w:sz w:val="16"/>
                <w:szCs w:val="16"/>
              </w:rPr>
              <w:t>Bd. C.D. Loga nr. 1, 300030   Timişoara,  tel: +40 256  408 300,  fax:+40 256 490 635 e-mail</w:t>
            </w:r>
            <w:r w:rsidRPr="00BA429F">
              <w:rPr>
                <w:b/>
                <w:i/>
                <w:color w:val="0000FF"/>
                <w:sz w:val="16"/>
                <w:szCs w:val="16"/>
              </w:rPr>
              <w:t xml:space="preserve">: primariatm@primariatm.ro  </w:t>
            </w:r>
            <w:r w:rsidRPr="00BA429F">
              <w:rPr>
                <w:b/>
                <w:i/>
                <w:sz w:val="16"/>
                <w:szCs w:val="16"/>
              </w:rPr>
              <w:t xml:space="preserve">internet: </w:t>
            </w:r>
            <w:r w:rsidRPr="00BA429F">
              <w:rPr>
                <w:b/>
                <w:i/>
                <w:color w:val="0000FF"/>
                <w:sz w:val="16"/>
                <w:szCs w:val="16"/>
              </w:rPr>
              <w:t>www</w:t>
            </w:r>
            <w:r w:rsidRPr="00BA429F">
              <w:rPr>
                <w:b/>
                <w:i/>
                <w:sz w:val="16"/>
                <w:szCs w:val="16"/>
              </w:rPr>
              <w:t>.</w:t>
            </w:r>
            <w:r w:rsidRPr="00BA429F">
              <w:rPr>
                <w:b/>
                <w:i/>
                <w:color w:val="0000FF"/>
                <w:sz w:val="16"/>
                <w:szCs w:val="16"/>
              </w:rPr>
              <w:t>primariatm.ro</w:t>
            </w:r>
          </w:p>
        </w:tc>
      </w:tr>
    </w:tbl>
    <w:p w:rsidR="0034492C" w:rsidRPr="00BA429F" w:rsidRDefault="0034492C" w:rsidP="0034492C">
      <w:pPr>
        <w:jc w:val="both"/>
        <w:rPr>
          <w:b/>
        </w:rPr>
      </w:pPr>
    </w:p>
    <w:p w:rsidR="009707FA" w:rsidRPr="00BA429F" w:rsidRDefault="009707FA" w:rsidP="0034492C">
      <w:pPr>
        <w:jc w:val="both"/>
        <w:rPr>
          <w:b/>
        </w:rPr>
      </w:pPr>
    </w:p>
    <w:p w:rsidR="00A47B5D" w:rsidRPr="00BA429F" w:rsidRDefault="00A47B5D" w:rsidP="00A47B5D">
      <w:pPr>
        <w:autoSpaceDE w:val="0"/>
        <w:autoSpaceDN w:val="0"/>
        <w:adjustRightInd w:val="0"/>
        <w:jc w:val="center"/>
        <w:rPr>
          <w:b/>
          <w:u w:val="single"/>
        </w:rPr>
      </w:pPr>
      <w:r w:rsidRPr="00BA429F">
        <w:rPr>
          <w:b/>
          <w:u w:val="single"/>
        </w:rPr>
        <w:t>REFERATUL DE APROBARE A PROIECTULUI DE HOTĂRÂRE</w:t>
      </w:r>
    </w:p>
    <w:p w:rsidR="00611910" w:rsidRPr="00082FF5" w:rsidRDefault="00852A88" w:rsidP="00611910">
      <w:pPr>
        <w:autoSpaceDE w:val="0"/>
        <w:autoSpaceDN w:val="0"/>
        <w:adjustRightInd w:val="0"/>
        <w:jc w:val="center"/>
        <w:rPr>
          <w:rFonts w:eastAsia="Calibri"/>
          <w:b/>
          <w:bCs/>
          <w:color w:val="000000"/>
        </w:rPr>
      </w:pPr>
      <w:r w:rsidRPr="00BA429F">
        <w:rPr>
          <w:b/>
          <w:bCs/>
          <w:color w:val="000000"/>
        </w:rPr>
        <w:t xml:space="preserve">privind </w:t>
      </w:r>
      <w:r w:rsidR="00611910" w:rsidRPr="00082FF5">
        <w:rPr>
          <w:b/>
          <w:bCs/>
          <w:color w:val="000000"/>
        </w:rPr>
        <w:t xml:space="preserve">aprobarea rezervei de implementare destinată reechilibrării contractului de proiectare şi execuţie lucrări nr. 104/2020 aferent proiectului  </w:t>
      </w:r>
      <w:r w:rsidR="00611910" w:rsidRPr="00082FF5">
        <w:rPr>
          <w:rFonts w:eastAsia="Calibri"/>
          <w:b/>
          <w:bCs/>
          <w:color w:val="000000"/>
        </w:rPr>
        <w:t>„Reabilitarea liniilor de tramvai și modernizarea tramelor stradale în Municipiul Timișoara, Traseu 5, Calea Bogdaneștilor”, cod SMIS 123184</w:t>
      </w:r>
    </w:p>
    <w:p w:rsidR="00852A88" w:rsidRPr="00BA429F" w:rsidRDefault="00852A88" w:rsidP="009059E6">
      <w:pPr>
        <w:autoSpaceDE w:val="0"/>
        <w:autoSpaceDN w:val="0"/>
        <w:adjustRightInd w:val="0"/>
        <w:jc w:val="center"/>
        <w:rPr>
          <w:b/>
          <w:bCs/>
          <w:color w:val="000000"/>
        </w:rPr>
      </w:pPr>
    </w:p>
    <w:p w:rsidR="0034492C" w:rsidRPr="00BA429F" w:rsidRDefault="0034492C" w:rsidP="003D7C60">
      <w:pPr>
        <w:pStyle w:val="ListParagraph"/>
        <w:numPr>
          <w:ilvl w:val="0"/>
          <w:numId w:val="1"/>
        </w:numPr>
        <w:tabs>
          <w:tab w:val="decimal" w:pos="360"/>
          <w:tab w:val="decimal" w:pos="432"/>
        </w:tabs>
        <w:ind w:left="0" w:firstLine="0"/>
        <w:jc w:val="both"/>
        <w:rPr>
          <w:rFonts w:ascii="Times New Roman" w:hAnsi="Times New Roman"/>
          <w:b/>
          <w:color w:val="000000"/>
          <w:spacing w:val="-5"/>
          <w:sz w:val="24"/>
          <w:szCs w:val="24"/>
          <w:lang w:val="ro-RO"/>
        </w:rPr>
      </w:pPr>
      <w:r w:rsidRPr="00BA429F">
        <w:rPr>
          <w:rFonts w:ascii="Times New Roman" w:hAnsi="Times New Roman"/>
          <w:b/>
          <w:color w:val="000000"/>
          <w:spacing w:val="-5"/>
          <w:sz w:val="24"/>
          <w:szCs w:val="24"/>
          <w:lang w:val="ro-RO"/>
        </w:rPr>
        <w:t>Descrierea situatiei actuale</w:t>
      </w:r>
    </w:p>
    <w:p w:rsidR="00611910" w:rsidRPr="00082FF5" w:rsidRDefault="00611910" w:rsidP="00611910">
      <w:pPr>
        <w:autoSpaceDE w:val="0"/>
        <w:autoSpaceDN w:val="0"/>
        <w:adjustRightInd w:val="0"/>
        <w:ind w:firstLine="720"/>
        <w:jc w:val="both"/>
      </w:pPr>
      <w:r w:rsidRPr="00082FF5">
        <w:t>STPT este operatorul de transport public pentru municipiul Timișoara, operând curse cu tramvaie, troleibuze și autobuze pe raza orașului, dar și pe 6 rute care deservesc comunele din Asociația Metropolitană de Transport, precum și pe două rute, între oraș și Aeroportul Internațional Traian Vuia, care sunt tratate ca rute pur municipale.</w:t>
      </w:r>
    </w:p>
    <w:p w:rsidR="00611910" w:rsidRPr="00082FF5" w:rsidRDefault="00611910" w:rsidP="00611910">
      <w:pPr>
        <w:ind w:firstLine="720"/>
        <w:jc w:val="both"/>
        <w:rPr>
          <w:bCs/>
        </w:rPr>
      </w:pPr>
      <w:r w:rsidRPr="00082FF5">
        <w:rPr>
          <w:color w:val="000000"/>
        </w:rPr>
        <w:t>Tramvaiele asigură transportul pe 10 linii comerciale, ale căror trasee au o lungime totală de 38,469 km linie dublă, respectiv 76,938 km linie simplă, din care, în prezent, sunt efectiv în exploatare 33,172 km linie dublă, respectiv 66,344 km linie simplă. Vârsta medie a parcului de tramvaie utilizat în prezent de STPT este de 41,5 ani, tramvaiele fiind produse între anii 1962-1973, astfel că</w:t>
      </w:r>
      <w:r w:rsidRPr="00082FF5">
        <w:t>, începând cu anul 2010, acestea îndeplinesc condiţiile legale de casare.</w:t>
      </w:r>
      <w:r w:rsidRPr="00082FF5">
        <w:rPr>
          <w:bCs/>
        </w:rPr>
        <w:t xml:space="preserve"> </w:t>
      </w:r>
    </w:p>
    <w:p w:rsidR="008C1567" w:rsidRPr="00BA429F" w:rsidRDefault="00360757" w:rsidP="00360757">
      <w:pPr>
        <w:pStyle w:val="NoSpacing"/>
        <w:ind w:firstLine="720"/>
        <w:jc w:val="both"/>
        <w:rPr>
          <w:color w:val="000000" w:themeColor="text1"/>
          <w:sz w:val="24"/>
          <w:szCs w:val="24"/>
          <w:lang w:val="ro-RO"/>
        </w:rPr>
      </w:pPr>
      <w:r>
        <w:rPr>
          <w:color w:val="000000" w:themeColor="text1"/>
          <w:sz w:val="24"/>
          <w:szCs w:val="24"/>
          <w:lang w:val="ro-RO"/>
        </w:rPr>
        <w:t>Municipiul Timișoara dorește să-și îmbunătățească</w:t>
      </w:r>
      <w:r w:rsidRPr="00934E38">
        <w:rPr>
          <w:color w:val="000000" w:themeColor="text1"/>
          <w:sz w:val="24"/>
          <w:szCs w:val="24"/>
          <w:lang w:val="ro-RO"/>
        </w:rPr>
        <w:t xml:space="preserve"> continuu performan</w:t>
      </w:r>
      <w:r>
        <w:rPr>
          <w:color w:val="000000" w:themeColor="text1"/>
          <w:sz w:val="24"/>
          <w:szCs w:val="24"/>
          <w:lang w:val="ro-RO"/>
        </w:rPr>
        <w:t>țele î</w:t>
      </w:r>
      <w:r w:rsidRPr="00934E38">
        <w:rPr>
          <w:color w:val="000000" w:themeColor="text1"/>
          <w:sz w:val="24"/>
          <w:szCs w:val="24"/>
          <w:lang w:val="ro-RO"/>
        </w:rPr>
        <w:t>n domeniul tran</w:t>
      </w:r>
      <w:r>
        <w:rPr>
          <w:color w:val="000000" w:themeColor="text1"/>
          <w:sz w:val="24"/>
          <w:szCs w:val="24"/>
          <w:lang w:val="ro-RO"/>
        </w:rPr>
        <w:t xml:space="preserve">sportului public de persoane.  În acest scop are în vedere să asigure satisfacerea continuă a cerințelor și </w:t>
      </w:r>
      <w:r w:rsidRPr="009C1BD6">
        <w:rPr>
          <w:sz w:val="24"/>
          <w:szCs w:val="24"/>
          <w:lang w:val="ro-RO"/>
        </w:rPr>
        <w:t>așteptărilor clienților</w:t>
      </w:r>
      <w:r>
        <w:rPr>
          <w:color w:val="FF0000"/>
          <w:sz w:val="24"/>
          <w:szCs w:val="24"/>
          <w:lang w:val="ro-RO"/>
        </w:rPr>
        <w:t xml:space="preserve"> </w:t>
      </w:r>
      <w:r>
        <w:rPr>
          <w:color w:val="000000" w:themeColor="text1"/>
          <w:sz w:val="24"/>
          <w:szCs w:val="24"/>
          <w:lang w:val="ro-RO"/>
        </w:rPr>
        <w:t>printr-o înaltă</w:t>
      </w:r>
      <w:r w:rsidRPr="00934E38">
        <w:rPr>
          <w:color w:val="000000" w:themeColor="text1"/>
          <w:sz w:val="24"/>
          <w:szCs w:val="24"/>
          <w:lang w:val="ro-RO"/>
        </w:rPr>
        <w:t xml:space="preserve"> calitate a tr</w:t>
      </w:r>
      <w:r>
        <w:rPr>
          <w:color w:val="000000" w:themeColor="text1"/>
          <w:sz w:val="24"/>
          <w:szCs w:val="24"/>
          <w:lang w:val="ro-RO"/>
        </w:rPr>
        <w:t>ansportului public de persoane și în același timp să protejeze mediul î</w:t>
      </w:r>
      <w:r w:rsidRPr="00934E38">
        <w:rPr>
          <w:color w:val="000000" w:themeColor="text1"/>
          <w:sz w:val="24"/>
          <w:szCs w:val="24"/>
          <w:lang w:val="ro-RO"/>
        </w:rPr>
        <w:t>nco</w:t>
      </w:r>
      <w:r>
        <w:rPr>
          <w:color w:val="000000" w:themeColor="text1"/>
          <w:sz w:val="24"/>
          <w:szCs w:val="24"/>
          <w:lang w:val="ro-RO"/>
        </w:rPr>
        <w:t>njurător prin prevenirea și controlul poluă</w:t>
      </w:r>
      <w:r w:rsidRPr="00934E38">
        <w:rPr>
          <w:color w:val="000000" w:themeColor="text1"/>
          <w:sz w:val="24"/>
          <w:szCs w:val="24"/>
          <w:lang w:val="ro-RO"/>
        </w:rPr>
        <w:t>rii.</w:t>
      </w:r>
      <w:r w:rsidR="008C1567" w:rsidRPr="00BA429F">
        <w:rPr>
          <w:color w:val="000000" w:themeColor="text1"/>
          <w:sz w:val="24"/>
          <w:szCs w:val="24"/>
          <w:lang w:val="ro-RO"/>
        </w:rPr>
        <w:t xml:space="preserve"> </w:t>
      </w:r>
    </w:p>
    <w:p w:rsidR="00611910" w:rsidRPr="00082FF5" w:rsidRDefault="00611910" w:rsidP="00611910">
      <w:pPr>
        <w:ind w:firstLine="720"/>
        <w:jc w:val="both"/>
        <w:rPr>
          <w:iCs/>
        </w:rPr>
      </w:pPr>
      <w:r w:rsidRPr="00082FF5">
        <w:rPr>
          <w:iCs/>
        </w:rPr>
        <w:t xml:space="preserve">Proiectul </w:t>
      </w:r>
      <w:r w:rsidRPr="00082FF5">
        <w:rPr>
          <w:bCs/>
        </w:rPr>
        <w:t xml:space="preserve">,,Reabilitarea liniilor de tramvai şi modernizarea tramelor stradale în Municipiul Timişoara, Traseu 5, Calea Bogdăneştilor”  </w:t>
      </w:r>
      <w:r w:rsidRPr="00082FF5">
        <w:t>este inclus în</w:t>
      </w:r>
      <w:r w:rsidRPr="00082FF5">
        <w:rPr>
          <w:b/>
        </w:rPr>
        <w:t xml:space="preserve"> </w:t>
      </w:r>
      <w:r w:rsidRPr="00082FF5">
        <w:rPr>
          <w:iCs/>
        </w:rPr>
        <w:t>Planul de Mobilitate Urbană Durabilă şi este prevăzut a fi realizat până în anul 2020. În luna septembrie 2017 a fost elaborat de către Autoritatea Urbană a Municipiului Timişoara, Documentul justificativ pentru finanţarea din fonduri europene structurale şi de investiţii 2014-2020, acest proiect fiind cuprins în lista proiectelor prioritare ce se doresc a fi implementate.</w:t>
      </w:r>
    </w:p>
    <w:p w:rsidR="00611910" w:rsidRPr="00082FF5" w:rsidRDefault="008C1567" w:rsidP="00611910">
      <w:pPr>
        <w:tabs>
          <w:tab w:val="left" w:pos="720"/>
        </w:tabs>
        <w:jc w:val="both"/>
        <w:rPr>
          <w:bCs/>
        </w:rPr>
      </w:pPr>
      <w:r w:rsidRPr="00BA429F">
        <w:rPr>
          <w:bCs/>
          <w:color w:val="000000" w:themeColor="text1"/>
        </w:rPr>
        <w:tab/>
      </w:r>
      <w:r w:rsidR="00611910" w:rsidRPr="00082FF5">
        <w:rPr>
          <w:bCs/>
        </w:rPr>
        <w:t xml:space="preserve">Proiectul contribuie la obiectivele privind dezvoltarea durabilă prin promovarea unui transport nepoluant, creşterea condiţiilor de confort, a siguranţei circulaţiei şi a vitezei de circulaţie, toate acestea sporind atractivitatea sistemului de transport public pentru cetăţeni şi reducerea emisiilor de carbon în municipiu. Infrastructura reţelei de linii de tramvai a fost modernizată în proporţie de peste 50%, în perioada 2002 – 2008. Lucrările de investitiții la 40,118 km linie cale simplă, respectiv 20,059 km linie cale dublă au fost finanțate printr-un credit BEI, garantat de bugetul de stat si bugetul local. </w:t>
      </w:r>
    </w:p>
    <w:p w:rsidR="00611910" w:rsidRPr="00082FF5" w:rsidRDefault="00611910" w:rsidP="006A4930">
      <w:pPr>
        <w:tabs>
          <w:tab w:val="left" w:pos="720"/>
        </w:tabs>
        <w:jc w:val="both"/>
      </w:pPr>
      <w:r w:rsidRPr="00082FF5">
        <w:tab/>
        <w:t>Implementarea acestui proiect va genera urmatoarele beneficii:</w:t>
      </w:r>
      <w:r w:rsidR="006A4930">
        <w:t xml:space="preserve"> </w:t>
      </w:r>
      <w:r w:rsidRPr="00082FF5">
        <w:t>creșterea vitezei medii de circulație; reducerea cheltuielilor de exploatare, întreținere și reparații; îmbunătățirea siguranței în circulație și a confortului pentru călători la nivelul cerințelor reglementărilor internaționale specifice domeniului;  îmbunătățirea parametrilor de mediu afectați de transportul public; reducerea duratei și a costului transportului de călători.</w:t>
      </w:r>
    </w:p>
    <w:p w:rsidR="008C1567" w:rsidRPr="00BA429F" w:rsidRDefault="008C1567" w:rsidP="008C1567">
      <w:pPr>
        <w:ind w:firstLine="720"/>
        <w:jc w:val="both"/>
        <w:rPr>
          <w:bCs/>
        </w:rPr>
      </w:pPr>
      <w:r w:rsidRPr="00BA429F">
        <w:rPr>
          <w:bCs/>
        </w:rPr>
        <w:t>Criza generată de virusul SARS-CoV-2, creşteri ale preţului la carburanţi, dar şi creşteri semnificative ale preţului la gazele naturale şi la energia electrică, precum şi criza provocată de conflictul militar din regiunea Mării Negre au condus la declanşarea crizei pe piaţa construcţiilor au caracter imprevizibil şi sunt considerate cauze care nu depind de acţiunea părţilor contractuale, dar care afectează în mod semnificativ implementarea proiectelor de infrastructură, dar şi a celor de furnizare echipamente, consecinţa fiind blocarea implementării proiectelor şi afectarea serioasă a indicatorilor pentru programe operaţionale/naţionale finanţate din fonduri, domeniul Afaceri interne, denumite în continuare programe naţionale pe care România le are de îndeplinit în cadrul politicii de coeziune 2014-2020 sau alte politici europene relevante.</w:t>
      </w:r>
    </w:p>
    <w:p w:rsidR="0034492C" w:rsidRPr="00BA429F" w:rsidRDefault="0034492C" w:rsidP="00A31B1C">
      <w:pPr>
        <w:pStyle w:val="ListParagraph"/>
        <w:numPr>
          <w:ilvl w:val="0"/>
          <w:numId w:val="1"/>
        </w:numPr>
        <w:tabs>
          <w:tab w:val="num" w:pos="0"/>
        </w:tabs>
        <w:ind w:left="360"/>
        <w:jc w:val="both"/>
        <w:rPr>
          <w:rFonts w:ascii="Times New Roman" w:hAnsi="Times New Roman"/>
          <w:b/>
          <w:color w:val="000000"/>
          <w:spacing w:val="-5"/>
          <w:sz w:val="24"/>
          <w:szCs w:val="24"/>
          <w:lang w:val="ro-RO"/>
        </w:rPr>
      </w:pPr>
      <w:r w:rsidRPr="00BA429F">
        <w:rPr>
          <w:rFonts w:ascii="Times New Roman" w:hAnsi="Times New Roman"/>
          <w:b/>
          <w:color w:val="000000"/>
          <w:spacing w:val="-5"/>
          <w:sz w:val="24"/>
          <w:szCs w:val="24"/>
          <w:lang w:val="ro-RO"/>
        </w:rPr>
        <w:lastRenderedPageBreak/>
        <w:t>Schimbari preconizate și rezultate așteptate</w:t>
      </w:r>
    </w:p>
    <w:p w:rsidR="008C1567" w:rsidRPr="00BA429F" w:rsidRDefault="00A31B1C" w:rsidP="008C1567">
      <w:pPr>
        <w:tabs>
          <w:tab w:val="left" w:pos="720"/>
        </w:tabs>
        <w:jc w:val="both"/>
        <w:rPr>
          <w:rFonts w:eastAsiaTheme="minorHAnsi"/>
        </w:rPr>
      </w:pPr>
      <w:r w:rsidRPr="00BA429F">
        <w:rPr>
          <w:rFonts w:eastAsiaTheme="minorHAnsi"/>
          <w:color w:val="000000" w:themeColor="text1"/>
        </w:rPr>
        <w:tab/>
      </w:r>
      <w:r w:rsidR="008C1567" w:rsidRPr="00BA429F">
        <w:rPr>
          <w:rFonts w:eastAsiaTheme="minorHAnsi"/>
          <w:bCs/>
        </w:rPr>
        <w:t>Prin Ordonanţa de Urgenţă nr. 64/2022,</w:t>
      </w:r>
      <w:r w:rsidR="008C1567" w:rsidRPr="00BA429F">
        <w:rPr>
          <w:rFonts w:eastAsiaTheme="minorHAnsi"/>
          <w:b/>
          <w:bCs/>
        </w:rPr>
        <w:t xml:space="preserve"> </w:t>
      </w:r>
      <w:hyperlink r:id="rId8" w:anchor="26339599" w:history="1">
        <w:r w:rsidR="008C1567" w:rsidRPr="00BA429F">
          <w:rPr>
            <w:rStyle w:val="Hyperlink"/>
            <w:rFonts w:eastAsiaTheme="minorHAnsi"/>
            <w:bCs/>
            <w:color w:val="auto"/>
            <w:u w:val="none"/>
          </w:rPr>
          <w:t>se reglementează unele măsuri pentru ajustarea preţurilor necesare actualizării costurilor investiţiei în contractele de achiziţie publică/contractele sectoriale/acordurile-cadru, precum şi în alte categorii de contracte, respectiv pentru ajustarea devizelor generale de investiţii în cadrul contractelor de finanţare care au asigurate sursele financiare parţial sau integral din fonduri externe nerambursabile.</w:t>
        </w:r>
      </w:hyperlink>
    </w:p>
    <w:p w:rsidR="003919F3" w:rsidRPr="00BA429F" w:rsidRDefault="003919F3" w:rsidP="003919F3">
      <w:pPr>
        <w:tabs>
          <w:tab w:val="left" w:pos="720"/>
        </w:tabs>
        <w:jc w:val="both"/>
        <w:rPr>
          <w:rFonts w:eastAsiaTheme="minorHAnsi"/>
          <w:bCs/>
        </w:rPr>
      </w:pPr>
      <w:r w:rsidRPr="00BA429F">
        <w:rPr>
          <w:rFonts w:eastAsiaTheme="minorHAnsi"/>
          <w:bCs/>
        </w:rPr>
        <w:tab/>
        <w:t xml:space="preserve">În conformitate cu prevederile art. 9 din OUG nr. 64/2022: </w:t>
      </w:r>
    </w:p>
    <w:p w:rsidR="003919F3" w:rsidRPr="00BA429F" w:rsidRDefault="00C72A95" w:rsidP="003919F3">
      <w:pPr>
        <w:tabs>
          <w:tab w:val="left" w:pos="720"/>
        </w:tabs>
        <w:jc w:val="both"/>
        <w:rPr>
          <w:rFonts w:eastAsiaTheme="minorHAnsi"/>
          <w:bCs/>
        </w:rPr>
      </w:pPr>
      <w:hyperlink r:id="rId9" w:anchor="26339769" w:history="1">
        <w:r w:rsidR="003919F3" w:rsidRPr="00BA429F">
          <w:rPr>
            <w:rStyle w:val="Hyperlink"/>
            <w:rFonts w:eastAsiaTheme="minorHAnsi"/>
            <w:b/>
            <w:bCs/>
            <w:color w:val="auto"/>
            <w:u w:val="none"/>
          </w:rPr>
          <w:t xml:space="preserve">- </w:t>
        </w:r>
        <w:r w:rsidR="003919F3" w:rsidRPr="00BA429F">
          <w:rPr>
            <w:rStyle w:val="Hyperlink"/>
            <w:rFonts w:eastAsiaTheme="minorHAnsi"/>
            <w:bCs/>
            <w:color w:val="auto"/>
            <w:u w:val="none"/>
          </w:rPr>
          <w:t>beneficiarii fondurilor externe nerambursabile constituie o rezervă de implementare, în limitele şi condiţiile prevăzute de ordonanţa de urgenţă, destinată plăţii ajustărilor de preţ ale contractelor de achiziţie publică prin încheierea de act adiţional la contractul de achiziţie publică, în limitele şi condiţiile prevăzute de prezenta ordonanţă de urgenţă.</w:t>
        </w:r>
      </w:hyperlink>
    </w:p>
    <w:p w:rsidR="003919F3" w:rsidRPr="00BA429F" w:rsidRDefault="00C72A95" w:rsidP="003919F3">
      <w:pPr>
        <w:tabs>
          <w:tab w:val="left" w:pos="720"/>
        </w:tabs>
        <w:jc w:val="both"/>
        <w:rPr>
          <w:rFonts w:eastAsiaTheme="minorHAnsi"/>
          <w:bCs/>
        </w:rPr>
      </w:pPr>
      <w:hyperlink r:id="rId10" w:anchor="26339769" w:history="1">
        <w:r w:rsidR="003919F3" w:rsidRPr="00BA429F">
          <w:rPr>
            <w:rStyle w:val="Hyperlink"/>
            <w:rFonts w:eastAsiaTheme="minorHAnsi"/>
            <w:b/>
            <w:bCs/>
            <w:color w:val="auto"/>
            <w:u w:val="none"/>
          </w:rPr>
          <w:t xml:space="preserve">- </w:t>
        </w:r>
        <w:r w:rsidR="003919F3" w:rsidRPr="00BA429F">
          <w:rPr>
            <w:rStyle w:val="Hyperlink"/>
            <w:rFonts w:eastAsiaTheme="minorHAnsi"/>
            <w:bCs/>
            <w:color w:val="auto"/>
            <w:u w:val="none"/>
          </w:rPr>
          <w:t>beneficiarii fondurilor externe nerambursabile încheie acte adiţionale la contractele de achiziţie după parcurgerea etapelor prevăzute la art. 10.</w:t>
        </w:r>
      </w:hyperlink>
    </w:p>
    <w:p w:rsidR="003919F3" w:rsidRPr="00BA429F" w:rsidRDefault="00C72A95" w:rsidP="003919F3">
      <w:pPr>
        <w:tabs>
          <w:tab w:val="left" w:pos="720"/>
        </w:tabs>
        <w:jc w:val="both"/>
        <w:rPr>
          <w:rFonts w:eastAsiaTheme="minorHAnsi"/>
          <w:bCs/>
        </w:rPr>
      </w:pPr>
      <w:hyperlink r:id="rId11" w:anchor="26339769" w:history="1">
        <w:r w:rsidR="003919F3" w:rsidRPr="00BA429F">
          <w:rPr>
            <w:rStyle w:val="Hyperlink"/>
            <w:rFonts w:eastAsiaTheme="minorHAnsi"/>
            <w:b/>
            <w:bCs/>
            <w:color w:val="auto"/>
            <w:u w:val="none"/>
          </w:rPr>
          <w:t>-</w:t>
        </w:r>
        <w:r w:rsidR="003919F3" w:rsidRPr="00BA429F">
          <w:rPr>
            <w:rStyle w:val="Hyperlink"/>
            <w:rFonts w:eastAsiaTheme="minorHAnsi"/>
            <w:bCs/>
            <w:color w:val="auto"/>
            <w:u w:val="none"/>
          </w:rPr>
          <w:t xml:space="preserve"> rezerva de implementare pentru reechilibrarea contractelor se constituie iniţial, în procent de până la 23% din valoarea restului de executat a contractului de achiziţie, la momentul intrării în vigoare a ordonanţei de urgenţă şi poate fi utilizată numai pentru plata diferenţelor de preţ aferente ajustării preţului contractelor de achiziţie, fără a depăşi pragurile stabilite de lege (50% din valoarea contractului).</w:t>
        </w:r>
      </w:hyperlink>
    </w:p>
    <w:p w:rsidR="003919F3" w:rsidRPr="00BA429F" w:rsidRDefault="00C72A95" w:rsidP="003919F3">
      <w:pPr>
        <w:tabs>
          <w:tab w:val="left" w:pos="720"/>
        </w:tabs>
        <w:jc w:val="both"/>
        <w:rPr>
          <w:rFonts w:eastAsiaTheme="minorHAnsi"/>
          <w:bCs/>
        </w:rPr>
      </w:pPr>
      <w:hyperlink r:id="rId12" w:anchor="26339769" w:history="1">
        <w:r w:rsidR="003919F3" w:rsidRPr="00BA429F">
          <w:rPr>
            <w:rStyle w:val="Hyperlink"/>
            <w:rFonts w:eastAsiaTheme="minorHAnsi"/>
            <w:bCs/>
            <w:color w:val="auto"/>
            <w:u w:val="none"/>
          </w:rPr>
          <w:t xml:space="preserve">- pe parcursul derulării contractelor, rezerva de implementare destinată plăţii ajustărilor de preţ se poate suplimenta cu procente de până la 10% din valoarea restului de executat a contractului de achiziţie, la data solicitării, prin încheierea de acte adiţionale la contracte, fără a depăşi pragurile stabilite de lege (50% din valoarea </w:t>
        </w:r>
      </w:hyperlink>
      <w:r w:rsidR="003919F3" w:rsidRPr="00BA429F">
        <w:rPr>
          <w:rFonts w:eastAsiaTheme="minorHAnsi"/>
          <w:bCs/>
        </w:rPr>
        <w:t xml:space="preserve"> contractului).</w:t>
      </w:r>
    </w:p>
    <w:p w:rsidR="003919F3" w:rsidRPr="00BA429F" w:rsidRDefault="003919F3" w:rsidP="003919F3">
      <w:pPr>
        <w:ind w:firstLine="720"/>
        <w:jc w:val="both"/>
      </w:pPr>
      <w:r w:rsidRPr="00BA429F">
        <w:rPr>
          <w:rFonts w:eastAsiaTheme="minorHAnsi"/>
          <w:color w:val="000000" w:themeColor="text1"/>
        </w:rPr>
        <w:t>Potrivit art. 17, alin. 8, li</w:t>
      </w:r>
      <w:r w:rsidR="00611910">
        <w:rPr>
          <w:rFonts w:eastAsiaTheme="minorHAnsi"/>
          <w:color w:val="000000" w:themeColor="text1"/>
        </w:rPr>
        <w:t>t</w:t>
      </w:r>
      <w:r w:rsidRPr="00BA429F">
        <w:rPr>
          <w:rFonts w:eastAsiaTheme="minorHAnsi"/>
          <w:color w:val="000000" w:themeColor="text1"/>
        </w:rPr>
        <w:t xml:space="preserve">. </w:t>
      </w:r>
      <w:r w:rsidR="00611910">
        <w:rPr>
          <w:rFonts w:eastAsiaTheme="minorHAnsi"/>
          <w:color w:val="000000" w:themeColor="text1"/>
        </w:rPr>
        <w:t>a</w:t>
      </w:r>
      <w:r w:rsidRPr="00BA429F">
        <w:rPr>
          <w:rFonts w:eastAsiaTheme="minorHAnsi"/>
          <w:color w:val="000000" w:themeColor="text1"/>
        </w:rPr>
        <w:t>.2) din OUG nr. 64/2022, d</w:t>
      </w:r>
      <w:r w:rsidRPr="00BA429F">
        <w:t xml:space="preserve">eterminarea sumelor aferente utilizării rezervei de implementare pentru contractele prevăzute la alin. (3) lit. </w:t>
      </w:r>
      <w:r w:rsidR="00611910">
        <w:t>a</w:t>
      </w:r>
      <w:r w:rsidRPr="00BA429F">
        <w:t>), denumită în continuare S</w:t>
      </w:r>
      <w:r w:rsidRPr="00BA429F">
        <w:rPr>
          <w:vertAlign w:val="subscript"/>
        </w:rPr>
        <w:t>R</w:t>
      </w:r>
      <w:r w:rsidRPr="00BA429F">
        <w:t>, se face după formula de calcul:</w:t>
      </w:r>
    </w:p>
    <w:p w:rsidR="003919F3" w:rsidRPr="00BA429F" w:rsidRDefault="003919F3" w:rsidP="003919F3">
      <w:pPr>
        <w:ind w:firstLine="720"/>
        <w:jc w:val="both"/>
      </w:pPr>
      <w:r w:rsidRPr="00BA429F">
        <w:t>S</w:t>
      </w:r>
      <w:r w:rsidRPr="00BA429F">
        <w:rPr>
          <w:vertAlign w:val="subscript"/>
        </w:rPr>
        <w:t>R</w:t>
      </w:r>
      <w:r w:rsidRPr="00BA429F">
        <w:t>= V</w:t>
      </w:r>
      <w:r w:rsidRPr="00BA429F">
        <w:rPr>
          <w:vertAlign w:val="subscript"/>
        </w:rPr>
        <w:t>apl</w:t>
      </w:r>
      <w:r w:rsidRPr="00BA429F">
        <w:t xml:space="preserve"> - V</w:t>
      </w:r>
      <w:r w:rsidRPr="00BA429F">
        <w:rPr>
          <w:vertAlign w:val="subscript"/>
        </w:rPr>
        <w:t>pl</w:t>
      </w:r>
      <w:r w:rsidRPr="00BA429F">
        <w:t>,</w:t>
      </w:r>
    </w:p>
    <w:p w:rsidR="003919F3" w:rsidRPr="00BA429F" w:rsidRDefault="003919F3" w:rsidP="003919F3">
      <w:pPr>
        <w:jc w:val="both"/>
      </w:pPr>
      <w:r w:rsidRPr="00BA429F">
        <w:t>unde:</w:t>
      </w:r>
    </w:p>
    <w:p w:rsidR="003919F3" w:rsidRPr="00BA429F" w:rsidRDefault="003919F3" w:rsidP="003919F3">
      <w:pPr>
        <w:jc w:val="both"/>
      </w:pPr>
      <w:r w:rsidRPr="00BA429F">
        <w:t>V_apl - valoarea actualizată a plăţii solicitată de către contractant la data depunerii solicitării de plată;</w:t>
      </w:r>
    </w:p>
    <w:p w:rsidR="003919F3" w:rsidRPr="00BA429F" w:rsidRDefault="003919F3" w:rsidP="003919F3">
      <w:pPr>
        <w:jc w:val="both"/>
      </w:pPr>
      <w:r w:rsidRPr="00BA429F">
        <w:t>V_pl - valoarea plăţii solicitată de către contractant la data depunerii solicitării de plată.</w:t>
      </w:r>
    </w:p>
    <w:p w:rsidR="00611910" w:rsidRPr="00611910" w:rsidRDefault="003919F3" w:rsidP="00611910">
      <w:pPr>
        <w:jc w:val="both"/>
      </w:pPr>
      <w:r w:rsidRPr="00BA429F">
        <w:t xml:space="preserve"> </w:t>
      </w:r>
      <w:r w:rsidRPr="00BA429F">
        <w:tab/>
      </w:r>
      <w:r w:rsidR="00611910" w:rsidRPr="00611910">
        <w:t xml:space="preserve">Rezerva de implementare s-a constituit în cuantum de </w:t>
      </w:r>
      <w:r w:rsidR="00611910" w:rsidRPr="00611910">
        <w:rPr>
          <w:b/>
        </w:rPr>
        <w:t xml:space="preserve">14.870.870,75 </w:t>
      </w:r>
      <w:r w:rsidR="00611910" w:rsidRPr="00611910">
        <w:t xml:space="preserve">lei, fără TVA şi este în procent de </w:t>
      </w:r>
      <w:r w:rsidR="00611910" w:rsidRPr="00611910">
        <w:rPr>
          <w:b/>
        </w:rPr>
        <w:t>23</w:t>
      </w:r>
      <w:r w:rsidR="00611910" w:rsidRPr="00611910">
        <w:t>% (pragul de 23% prevăzut de OUG nr. 64/2022) din valoarea restului de executat a contractului de achiziţie, la momentul intrării în vigoare a ordonanţei de urgenţă şi poate fi utilizată numai pentru plata diferenţelor de preţ aferente ajustării preţului contractelor de achiziţie.</w:t>
      </w:r>
    </w:p>
    <w:p w:rsidR="00A16C8C" w:rsidRPr="00BA429F" w:rsidRDefault="00A16C8C" w:rsidP="006A4930">
      <w:pPr>
        <w:ind w:firstLine="720"/>
        <w:jc w:val="both"/>
      </w:pPr>
      <w:r w:rsidRPr="00BA429F">
        <w:t>Pe parcursul derulării contractelor, rezerva de implementare destinată plăţii ajustărilor de preţ se poate suplimenta cu procente de până la 10% din valoarea restului de executat a contractului de achiziţie, la data solicitării, prin încheierea de acte adiţionale la contracte. Suplimentarea rezervei de implementare poate avea loc numai dacă au fost efectuate plăţi de minimum 75% din valoarea rezervei. Suplimentarea rezervei de implementare nu poate conduce la depăşirea pragurilor prevăzute la art. 8 şi 18.</w:t>
      </w:r>
    </w:p>
    <w:p w:rsidR="0034492C" w:rsidRPr="00BA429F" w:rsidRDefault="0034492C" w:rsidP="00594E7B">
      <w:pPr>
        <w:pStyle w:val="ListParagraph"/>
        <w:numPr>
          <w:ilvl w:val="0"/>
          <w:numId w:val="1"/>
        </w:numPr>
        <w:tabs>
          <w:tab w:val="decimal" w:pos="360"/>
          <w:tab w:val="decimal" w:pos="432"/>
        </w:tabs>
        <w:ind w:left="360" w:right="3024"/>
        <w:jc w:val="both"/>
        <w:rPr>
          <w:rFonts w:ascii="Times New Roman" w:hAnsi="Times New Roman"/>
          <w:sz w:val="24"/>
          <w:szCs w:val="24"/>
          <w:lang w:val="ro-RO"/>
        </w:rPr>
      </w:pPr>
      <w:r w:rsidRPr="00BA429F">
        <w:rPr>
          <w:rFonts w:ascii="Times New Roman" w:hAnsi="Times New Roman"/>
          <w:b/>
          <w:color w:val="000000"/>
          <w:spacing w:val="15"/>
          <w:sz w:val="24"/>
          <w:szCs w:val="24"/>
          <w:lang w:val="ro-RO"/>
        </w:rPr>
        <w:t xml:space="preserve">Alte informatii - </w:t>
      </w:r>
      <w:r w:rsidRPr="00BA429F">
        <w:rPr>
          <w:rFonts w:ascii="Times New Roman" w:hAnsi="Times New Roman"/>
          <w:sz w:val="24"/>
          <w:szCs w:val="24"/>
          <w:lang w:val="ro-RO"/>
        </w:rPr>
        <w:t>Nu este cazul.</w:t>
      </w:r>
    </w:p>
    <w:p w:rsidR="0034492C" w:rsidRPr="00BA429F" w:rsidRDefault="0034492C" w:rsidP="00594E7B">
      <w:pPr>
        <w:pStyle w:val="ListParagraph"/>
        <w:numPr>
          <w:ilvl w:val="0"/>
          <w:numId w:val="1"/>
        </w:numPr>
        <w:tabs>
          <w:tab w:val="left" w:pos="360"/>
        </w:tabs>
        <w:ind w:left="0" w:firstLine="0"/>
        <w:jc w:val="both"/>
        <w:rPr>
          <w:rFonts w:ascii="Times New Roman" w:hAnsi="Times New Roman"/>
          <w:b/>
          <w:spacing w:val="-1"/>
          <w:sz w:val="24"/>
          <w:szCs w:val="24"/>
          <w:lang w:val="ro-RO"/>
        </w:rPr>
      </w:pPr>
      <w:r w:rsidRPr="00BA429F">
        <w:rPr>
          <w:rFonts w:ascii="Times New Roman" w:hAnsi="Times New Roman"/>
          <w:b/>
          <w:spacing w:val="-1"/>
          <w:sz w:val="24"/>
          <w:szCs w:val="24"/>
          <w:lang w:val="ro-RO"/>
        </w:rPr>
        <w:t>Concluzii</w:t>
      </w:r>
    </w:p>
    <w:p w:rsidR="0034492C" w:rsidRDefault="006D2156" w:rsidP="006A4930">
      <w:pPr>
        <w:ind w:firstLine="720"/>
        <w:jc w:val="both"/>
        <w:rPr>
          <w:color w:val="000000"/>
        </w:rPr>
      </w:pPr>
      <w:r w:rsidRPr="00BA429F">
        <w:t>C</w:t>
      </w:r>
      <w:r w:rsidR="009A6A9E">
        <w:rPr>
          <w:lang w:eastAsia="ro-RO"/>
        </w:rPr>
        <w:t xml:space="preserve">onsider necesar și oportun </w:t>
      </w:r>
      <w:r w:rsidRPr="00BA429F">
        <w:rPr>
          <w:color w:val="000000"/>
          <w:spacing w:val="-2"/>
        </w:rPr>
        <w:t>aprobarea</w:t>
      </w:r>
      <w:r w:rsidRPr="00BA429F">
        <w:t xml:space="preserve"> proiectului de hotărâre </w:t>
      </w:r>
      <w:r w:rsidR="00360757">
        <w:t xml:space="preserve">privind </w:t>
      </w:r>
      <w:r w:rsidR="006A4930" w:rsidRPr="006A4930">
        <w:rPr>
          <w:bCs/>
        </w:rPr>
        <w:t>aprobarea rezervei de implementare destinată reechilibrării contractului de proiectare şi execuţie lucrări nr. 104/2020 aferent proiectului  „Reabilitarea liniilor de tramvai și modernizarea tramelor stradale în Municipiul Timișoara, Traseu 5, Calea Bogdaneștilor”, cod SMIS 123184.</w:t>
      </w:r>
      <w:r w:rsidRPr="006A4930">
        <w:rPr>
          <w:color w:val="000000"/>
        </w:rPr>
        <w:t xml:space="preserve"> </w:t>
      </w:r>
    </w:p>
    <w:p w:rsidR="006A4930" w:rsidRPr="006A4930" w:rsidRDefault="006A4930" w:rsidP="006A4930">
      <w:pPr>
        <w:ind w:firstLine="720"/>
        <w:jc w:val="both"/>
        <w:rPr>
          <w:bCs/>
        </w:rPr>
      </w:pPr>
    </w:p>
    <w:p w:rsidR="007727A9" w:rsidRPr="00BA429F" w:rsidRDefault="007727A9" w:rsidP="007727A9">
      <w:pPr>
        <w:ind w:firstLine="720"/>
        <w:jc w:val="both"/>
        <w:rPr>
          <w:color w:val="000000"/>
        </w:rPr>
      </w:pPr>
    </w:p>
    <w:tbl>
      <w:tblPr>
        <w:tblW w:w="10610" w:type="dxa"/>
        <w:tblLook w:val="01E0"/>
      </w:tblPr>
      <w:tblGrid>
        <w:gridCol w:w="4788"/>
        <w:gridCol w:w="1080"/>
        <w:gridCol w:w="4742"/>
      </w:tblGrid>
      <w:tr w:rsidR="009E41BA" w:rsidRPr="00BA429F" w:rsidTr="001E2040">
        <w:tc>
          <w:tcPr>
            <w:tcW w:w="4788" w:type="dxa"/>
            <w:vAlign w:val="center"/>
          </w:tcPr>
          <w:p w:rsidR="009E41BA" w:rsidRPr="00BA429F" w:rsidRDefault="009E41BA" w:rsidP="001E2040">
            <w:pPr>
              <w:ind w:right="-22"/>
              <w:jc w:val="center"/>
              <w:rPr>
                <w:b/>
              </w:rPr>
            </w:pPr>
            <w:r w:rsidRPr="00BA429F">
              <w:rPr>
                <w:b/>
              </w:rPr>
              <w:t>PRIMAR,</w:t>
            </w:r>
          </w:p>
        </w:tc>
        <w:tc>
          <w:tcPr>
            <w:tcW w:w="1080" w:type="dxa"/>
            <w:vAlign w:val="center"/>
          </w:tcPr>
          <w:p w:rsidR="009E41BA" w:rsidRPr="00BA429F" w:rsidRDefault="009E41BA" w:rsidP="001E2040">
            <w:pPr>
              <w:ind w:right="-22"/>
              <w:jc w:val="center"/>
            </w:pPr>
          </w:p>
        </w:tc>
        <w:tc>
          <w:tcPr>
            <w:tcW w:w="4742" w:type="dxa"/>
            <w:vAlign w:val="center"/>
          </w:tcPr>
          <w:p w:rsidR="009E41BA" w:rsidRPr="00BA429F" w:rsidRDefault="009E41BA" w:rsidP="001E2040">
            <w:pPr>
              <w:ind w:right="-22"/>
              <w:jc w:val="center"/>
              <w:rPr>
                <w:b/>
              </w:rPr>
            </w:pPr>
            <w:r w:rsidRPr="00BA429F">
              <w:rPr>
                <w:b/>
              </w:rPr>
              <w:t>VICEPRIMAR,</w:t>
            </w:r>
          </w:p>
        </w:tc>
      </w:tr>
      <w:tr w:rsidR="009E41BA" w:rsidRPr="00BA429F" w:rsidTr="001E2040">
        <w:tc>
          <w:tcPr>
            <w:tcW w:w="4788" w:type="dxa"/>
            <w:vAlign w:val="center"/>
          </w:tcPr>
          <w:p w:rsidR="009E41BA" w:rsidRPr="00BA429F" w:rsidRDefault="009E41BA" w:rsidP="001E2040">
            <w:pPr>
              <w:ind w:right="-22"/>
              <w:jc w:val="center"/>
              <w:rPr>
                <w:i/>
              </w:rPr>
            </w:pPr>
            <w:r w:rsidRPr="00BA429F">
              <w:rPr>
                <w:i/>
              </w:rPr>
              <w:t>DOMINIC SAMUEL FRITZ</w:t>
            </w:r>
          </w:p>
        </w:tc>
        <w:tc>
          <w:tcPr>
            <w:tcW w:w="1080" w:type="dxa"/>
            <w:vAlign w:val="center"/>
          </w:tcPr>
          <w:p w:rsidR="009E41BA" w:rsidRPr="00BA429F" w:rsidRDefault="009E41BA" w:rsidP="001E2040">
            <w:pPr>
              <w:ind w:right="-22"/>
              <w:jc w:val="center"/>
            </w:pPr>
          </w:p>
        </w:tc>
        <w:tc>
          <w:tcPr>
            <w:tcW w:w="4742" w:type="dxa"/>
            <w:vAlign w:val="center"/>
          </w:tcPr>
          <w:p w:rsidR="009E41BA" w:rsidRPr="00BA429F" w:rsidRDefault="009E41BA" w:rsidP="001E2040">
            <w:pPr>
              <w:ind w:right="-22"/>
              <w:jc w:val="center"/>
              <w:rPr>
                <w:i/>
              </w:rPr>
            </w:pPr>
            <w:r w:rsidRPr="00BA429F">
              <w:rPr>
                <w:i/>
              </w:rPr>
              <w:t>RUBEN LAŢCĂU</w:t>
            </w:r>
          </w:p>
        </w:tc>
      </w:tr>
    </w:tbl>
    <w:p w:rsidR="009E41BA" w:rsidRPr="00BA429F" w:rsidRDefault="009E41BA" w:rsidP="009E41BA">
      <w:pPr>
        <w:pStyle w:val="ListParagraph"/>
        <w:tabs>
          <w:tab w:val="left" w:pos="0"/>
        </w:tabs>
        <w:spacing w:after="200"/>
        <w:ind w:left="0" w:firstLine="450"/>
        <w:jc w:val="both"/>
        <w:rPr>
          <w:rFonts w:ascii="Times New Roman" w:hAnsi="Times New Roman"/>
          <w:b/>
          <w:spacing w:val="-1"/>
          <w:sz w:val="24"/>
          <w:szCs w:val="24"/>
          <w:lang w:val="ro-RO"/>
        </w:rPr>
      </w:pPr>
    </w:p>
    <w:tbl>
      <w:tblPr>
        <w:tblW w:w="10610" w:type="dxa"/>
        <w:tblLook w:val="01E0"/>
      </w:tblPr>
      <w:tblGrid>
        <w:gridCol w:w="4788"/>
        <w:gridCol w:w="1080"/>
        <w:gridCol w:w="4742"/>
      </w:tblGrid>
      <w:tr w:rsidR="009E41BA" w:rsidRPr="00BA429F" w:rsidTr="001E2040">
        <w:tc>
          <w:tcPr>
            <w:tcW w:w="4788" w:type="dxa"/>
            <w:vAlign w:val="center"/>
          </w:tcPr>
          <w:p w:rsidR="009E41BA" w:rsidRPr="00BA429F" w:rsidRDefault="009E41BA" w:rsidP="001E2040">
            <w:pPr>
              <w:ind w:right="-22"/>
              <w:jc w:val="center"/>
              <w:rPr>
                <w:b/>
              </w:rPr>
            </w:pPr>
          </w:p>
        </w:tc>
        <w:tc>
          <w:tcPr>
            <w:tcW w:w="1080" w:type="dxa"/>
            <w:vAlign w:val="center"/>
          </w:tcPr>
          <w:p w:rsidR="009E41BA" w:rsidRPr="00BA429F" w:rsidRDefault="009E41BA" w:rsidP="001E2040">
            <w:pPr>
              <w:ind w:right="-22"/>
              <w:jc w:val="center"/>
            </w:pPr>
          </w:p>
        </w:tc>
        <w:tc>
          <w:tcPr>
            <w:tcW w:w="4742" w:type="dxa"/>
            <w:vAlign w:val="center"/>
          </w:tcPr>
          <w:p w:rsidR="009E41BA" w:rsidRPr="00BA429F" w:rsidRDefault="005733CE" w:rsidP="001E2040">
            <w:pPr>
              <w:ind w:right="-22"/>
              <w:jc w:val="center"/>
              <w:rPr>
                <w:b/>
              </w:rPr>
            </w:pPr>
            <w:r>
              <w:rPr>
                <w:b/>
              </w:rPr>
              <w:t>DIRECTOR GENERAL D.D.P.P.R.U.</w:t>
            </w:r>
            <w:r w:rsidR="009E41BA" w:rsidRPr="00BA429F">
              <w:rPr>
                <w:b/>
              </w:rPr>
              <w:t>,</w:t>
            </w:r>
          </w:p>
        </w:tc>
      </w:tr>
      <w:tr w:rsidR="009E41BA" w:rsidRPr="00604081" w:rsidTr="001E2040">
        <w:tc>
          <w:tcPr>
            <w:tcW w:w="4788" w:type="dxa"/>
            <w:vAlign w:val="center"/>
          </w:tcPr>
          <w:p w:rsidR="009E41BA" w:rsidRPr="00BA429F" w:rsidRDefault="009E41BA" w:rsidP="001E2040">
            <w:pPr>
              <w:ind w:right="-22"/>
              <w:jc w:val="center"/>
              <w:rPr>
                <w:i/>
              </w:rPr>
            </w:pPr>
          </w:p>
        </w:tc>
        <w:tc>
          <w:tcPr>
            <w:tcW w:w="1080" w:type="dxa"/>
            <w:vAlign w:val="center"/>
          </w:tcPr>
          <w:p w:rsidR="009E41BA" w:rsidRPr="00BA429F" w:rsidRDefault="009E41BA" w:rsidP="001E2040">
            <w:pPr>
              <w:ind w:right="-22"/>
              <w:jc w:val="center"/>
            </w:pPr>
          </w:p>
        </w:tc>
        <w:tc>
          <w:tcPr>
            <w:tcW w:w="4742" w:type="dxa"/>
            <w:vAlign w:val="center"/>
          </w:tcPr>
          <w:p w:rsidR="009E41BA" w:rsidRPr="00604081" w:rsidRDefault="009E41BA" w:rsidP="001E2040">
            <w:pPr>
              <w:ind w:right="-22"/>
              <w:jc w:val="center"/>
              <w:rPr>
                <w:i/>
              </w:rPr>
            </w:pPr>
            <w:r w:rsidRPr="00BA429F">
              <w:rPr>
                <w:i/>
              </w:rPr>
              <w:t>CULIŢĂ CHIŞ</w:t>
            </w:r>
            <w:r w:rsidRPr="00604081">
              <w:rPr>
                <w:i/>
              </w:rPr>
              <w:t xml:space="preserve">  </w:t>
            </w:r>
          </w:p>
        </w:tc>
      </w:tr>
    </w:tbl>
    <w:p w:rsidR="009E41BA" w:rsidRPr="00604081" w:rsidRDefault="009E41BA" w:rsidP="006A4930"/>
    <w:sectPr w:rsidR="009E41BA" w:rsidRPr="00604081" w:rsidSect="006A4930">
      <w:footerReference w:type="default" r:id="rId13"/>
      <w:pgSz w:w="12240" w:h="15840"/>
      <w:pgMar w:top="540" w:right="720" w:bottom="720" w:left="1170" w:header="70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039" w:rsidRDefault="00543039" w:rsidP="00022B0C">
      <w:r>
        <w:separator/>
      </w:r>
    </w:p>
  </w:endnote>
  <w:endnote w:type="continuationSeparator" w:id="0">
    <w:p w:rsidR="00543039" w:rsidRDefault="00543039" w:rsidP="00022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D9" w:rsidRPr="006A4930" w:rsidRDefault="003D7C60" w:rsidP="003D25D9">
    <w:pPr>
      <w:autoSpaceDE w:val="0"/>
      <w:autoSpaceDN w:val="0"/>
      <w:adjustRightInd w:val="0"/>
      <w:ind w:left="4320" w:right="-647" w:firstLine="720"/>
      <w:jc w:val="center"/>
      <w:rPr>
        <w:sz w:val="18"/>
        <w:szCs w:val="18"/>
        <w:lang w:val="it-IT"/>
      </w:rPr>
    </w:pPr>
    <w:r>
      <w:rPr>
        <w:sz w:val="20"/>
        <w:szCs w:val="20"/>
      </w:rPr>
      <w:t xml:space="preserve">                      </w:t>
    </w:r>
    <w:r w:rsidRPr="006A4930">
      <w:rPr>
        <w:sz w:val="18"/>
        <w:szCs w:val="18"/>
      </w:rPr>
      <w:t>Cod FO53-03, Ver.1</w:t>
    </w:r>
  </w:p>
  <w:p w:rsidR="003D25D9" w:rsidRDefault="00543039">
    <w:pPr>
      <w:pStyle w:val="Footer"/>
    </w:pPr>
  </w:p>
  <w:p w:rsidR="003D25D9" w:rsidRDefault="005430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039" w:rsidRDefault="00543039" w:rsidP="00022B0C">
      <w:r>
        <w:separator/>
      </w:r>
    </w:p>
  </w:footnote>
  <w:footnote w:type="continuationSeparator" w:id="0">
    <w:p w:rsidR="00543039" w:rsidRDefault="00543039" w:rsidP="00022B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4492C"/>
    <w:rsid w:val="00022B0C"/>
    <w:rsid w:val="00102307"/>
    <w:rsid w:val="0014770D"/>
    <w:rsid w:val="0017304B"/>
    <w:rsid w:val="001908FB"/>
    <w:rsid w:val="001D03B8"/>
    <w:rsid w:val="00214958"/>
    <w:rsid w:val="00240362"/>
    <w:rsid w:val="0024601B"/>
    <w:rsid w:val="002766C2"/>
    <w:rsid w:val="002A130E"/>
    <w:rsid w:val="002A566D"/>
    <w:rsid w:val="002C389F"/>
    <w:rsid w:val="002D39D1"/>
    <w:rsid w:val="00314802"/>
    <w:rsid w:val="00333ECE"/>
    <w:rsid w:val="0034492C"/>
    <w:rsid w:val="00345837"/>
    <w:rsid w:val="00356BC6"/>
    <w:rsid w:val="00360757"/>
    <w:rsid w:val="003919F3"/>
    <w:rsid w:val="00391CFB"/>
    <w:rsid w:val="00395C55"/>
    <w:rsid w:val="003A4634"/>
    <w:rsid w:val="003B2AEC"/>
    <w:rsid w:val="003D7C60"/>
    <w:rsid w:val="003E250F"/>
    <w:rsid w:val="003F0E0B"/>
    <w:rsid w:val="00413364"/>
    <w:rsid w:val="00414701"/>
    <w:rsid w:val="00432E71"/>
    <w:rsid w:val="0046267C"/>
    <w:rsid w:val="004E2A35"/>
    <w:rsid w:val="004F3491"/>
    <w:rsid w:val="00523DEE"/>
    <w:rsid w:val="00543039"/>
    <w:rsid w:val="00571EEC"/>
    <w:rsid w:val="005733CE"/>
    <w:rsid w:val="005866D0"/>
    <w:rsid w:val="00594E7B"/>
    <w:rsid w:val="00596C29"/>
    <w:rsid w:val="005B2885"/>
    <w:rsid w:val="00604081"/>
    <w:rsid w:val="00611910"/>
    <w:rsid w:val="0063516B"/>
    <w:rsid w:val="006A4930"/>
    <w:rsid w:val="006D2156"/>
    <w:rsid w:val="006F0A80"/>
    <w:rsid w:val="007223D5"/>
    <w:rsid w:val="00752995"/>
    <w:rsid w:val="007727A9"/>
    <w:rsid w:val="00787DF3"/>
    <w:rsid w:val="00841AA8"/>
    <w:rsid w:val="00845302"/>
    <w:rsid w:val="00852A88"/>
    <w:rsid w:val="008B68D5"/>
    <w:rsid w:val="008C1567"/>
    <w:rsid w:val="009059E6"/>
    <w:rsid w:val="009707FA"/>
    <w:rsid w:val="009A6A9E"/>
    <w:rsid w:val="009E41BA"/>
    <w:rsid w:val="009E6C5E"/>
    <w:rsid w:val="009F0787"/>
    <w:rsid w:val="00A16C8C"/>
    <w:rsid w:val="00A27091"/>
    <w:rsid w:val="00A31B1C"/>
    <w:rsid w:val="00A47B5D"/>
    <w:rsid w:val="00A84CFE"/>
    <w:rsid w:val="00A9183D"/>
    <w:rsid w:val="00AC65BC"/>
    <w:rsid w:val="00AE07D6"/>
    <w:rsid w:val="00B02179"/>
    <w:rsid w:val="00B76094"/>
    <w:rsid w:val="00BA429F"/>
    <w:rsid w:val="00BB6726"/>
    <w:rsid w:val="00BC485C"/>
    <w:rsid w:val="00BE5E89"/>
    <w:rsid w:val="00C209CB"/>
    <w:rsid w:val="00C254A3"/>
    <w:rsid w:val="00C44C97"/>
    <w:rsid w:val="00C47503"/>
    <w:rsid w:val="00C66F42"/>
    <w:rsid w:val="00C72A95"/>
    <w:rsid w:val="00C94F9A"/>
    <w:rsid w:val="00CC2030"/>
    <w:rsid w:val="00CE0045"/>
    <w:rsid w:val="00D00667"/>
    <w:rsid w:val="00D02901"/>
    <w:rsid w:val="00D04C36"/>
    <w:rsid w:val="00D11F1B"/>
    <w:rsid w:val="00D2286D"/>
    <w:rsid w:val="00D3033E"/>
    <w:rsid w:val="00D736BD"/>
    <w:rsid w:val="00DE314A"/>
    <w:rsid w:val="00DF788F"/>
    <w:rsid w:val="00E3248E"/>
    <w:rsid w:val="00E44B9D"/>
    <w:rsid w:val="00E55783"/>
    <w:rsid w:val="00E560B2"/>
    <w:rsid w:val="00E752D9"/>
    <w:rsid w:val="00E95ADE"/>
    <w:rsid w:val="00ED50A0"/>
    <w:rsid w:val="00FF0135"/>
    <w:rsid w:val="00FF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2C"/>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492C"/>
    <w:pPr>
      <w:tabs>
        <w:tab w:val="center" w:pos="4703"/>
        <w:tab w:val="right" w:pos="9406"/>
      </w:tabs>
    </w:pPr>
  </w:style>
  <w:style w:type="character" w:customStyle="1" w:styleId="FooterChar">
    <w:name w:val="Footer Char"/>
    <w:basedOn w:val="DefaultParagraphFont"/>
    <w:link w:val="Footer"/>
    <w:uiPriority w:val="99"/>
    <w:rsid w:val="0034492C"/>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34492C"/>
    <w:pPr>
      <w:ind w:left="720"/>
      <w:contextualSpacing/>
    </w:pPr>
    <w:rPr>
      <w:rFonts w:ascii="Calibri" w:hAnsi="Calibri"/>
      <w:sz w:val="22"/>
      <w:szCs w:val="22"/>
      <w:lang w:val="en-US" w:eastAsia="en-US"/>
    </w:rPr>
  </w:style>
  <w:style w:type="paragraph" w:customStyle="1" w:styleId="NormalC">
    <w:name w:val="NormalC"/>
    <w:basedOn w:val="Normal"/>
    <w:rsid w:val="0034492C"/>
    <w:rPr>
      <w:rFonts w:ascii="Tahoma" w:hAnsi="Tahoma"/>
      <w:sz w:val="22"/>
      <w:szCs w:val="20"/>
      <w:lang w:val="en-US" w:eastAsia="en-US"/>
    </w:rPr>
  </w:style>
  <w:style w:type="paragraph" w:styleId="BalloonText">
    <w:name w:val="Balloon Text"/>
    <w:basedOn w:val="Normal"/>
    <w:link w:val="BalloonTextChar"/>
    <w:uiPriority w:val="99"/>
    <w:semiHidden/>
    <w:unhideWhenUsed/>
    <w:rsid w:val="0034492C"/>
    <w:rPr>
      <w:rFonts w:ascii="Tahoma" w:hAnsi="Tahoma" w:cs="Tahoma"/>
      <w:sz w:val="16"/>
      <w:szCs w:val="16"/>
    </w:rPr>
  </w:style>
  <w:style w:type="character" w:customStyle="1" w:styleId="BalloonTextChar">
    <w:name w:val="Balloon Text Char"/>
    <w:basedOn w:val="DefaultParagraphFont"/>
    <w:link w:val="BalloonText"/>
    <w:uiPriority w:val="99"/>
    <w:semiHidden/>
    <w:rsid w:val="0034492C"/>
    <w:rPr>
      <w:rFonts w:ascii="Tahoma" w:eastAsia="Times New Roman" w:hAnsi="Tahoma" w:cs="Tahoma"/>
      <w:sz w:val="16"/>
      <w:szCs w:val="16"/>
      <w:lang w:val="ro-RO" w:eastAsia="en-GB"/>
    </w:rPr>
  </w:style>
  <w:style w:type="character" w:customStyle="1" w:styleId="rezumat1">
    <w:name w:val="rezumat_1"/>
    <w:basedOn w:val="DefaultParagraphFont"/>
    <w:rsid w:val="009707FA"/>
  </w:style>
  <w:style w:type="paragraph" w:styleId="NoSpacing">
    <w:name w:val="No Spacing"/>
    <w:uiPriority w:val="1"/>
    <w:qFormat/>
    <w:rsid w:val="00594E7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6D2156"/>
    <w:pPr>
      <w:tabs>
        <w:tab w:val="center" w:pos="4703"/>
        <w:tab w:val="right" w:pos="9406"/>
      </w:tabs>
    </w:pPr>
  </w:style>
  <w:style w:type="character" w:customStyle="1" w:styleId="HeaderChar">
    <w:name w:val="Header Char"/>
    <w:basedOn w:val="DefaultParagraphFont"/>
    <w:link w:val="Header"/>
    <w:uiPriority w:val="99"/>
    <w:semiHidden/>
    <w:rsid w:val="006D2156"/>
    <w:rPr>
      <w:rFonts w:ascii="Times New Roman" w:eastAsia="Times New Roman" w:hAnsi="Times New Roman" w:cs="Times New Roman"/>
      <w:sz w:val="24"/>
      <w:szCs w:val="24"/>
      <w:lang w:val="ro-RO" w:eastAsia="en-GB"/>
    </w:rPr>
  </w:style>
  <w:style w:type="character" w:styleId="Hyperlink">
    <w:name w:val="Hyperlink"/>
    <w:basedOn w:val="DefaultParagraphFont"/>
    <w:uiPriority w:val="99"/>
    <w:unhideWhenUsed/>
    <w:rsid w:val="008C156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ilegis\oficiale\index\act\4735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D:\ilegis\oficiale\index\act\1808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ilegis\oficiale\index\act\18088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D:\ilegis\oficiale\index\act\180888" TargetMode="External"/><Relationship Id="rId4" Type="http://schemas.openxmlformats.org/officeDocument/2006/relationships/webSettings" Target="webSettings.xml"/><Relationship Id="rId9" Type="http://schemas.openxmlformats.org/officeDocument/2006/relationships/hyperlink" Target="file:///D:\ilegis\oficiale\index\act\18088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nmircea</cp:lastModifiedBy>
  <cp:revision>60</cp:revision>
  <cp:lastPrinted>2022-06-10T10:43:00Z</cp:lastPrinted>
  <dcterms:created xsi:type="dcterms:W3CDTF">2018-09-25T08:03:00Z</dcterms:created>
  <dcterms:modified xsi:type="dcterms:W3CDTF">2022-07-25T06:40:00Z</dcterms:modified>
</cp:coreProperties>
</file>