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B6F" w:rsidRPr="00E76212" w:rsidRDefault="00714B6F" w:rsidP="00714B6F">
      <w:pPr>
        <w:pStyle w:val="NoSpacing"/>
        <w:rPr>
          <w:rFonts w:ascii="Times New Roman" w:hAnsi="Times New Roman" w:cs="Times New Roman"/>
          <w:b/>
          <w:sz w:val="24"/>
          <w:szCs w:val="24"/>
        </w:rPr>
      </w:pPr>
      <w:r>
        <w:rPr>
          <w:b/>
          <w:lang w:val="fr-FR"/>
        </w:rPr>
        <w:t xml:space="preserve"> </w:t>
      </w:r>
      <w:r w:rsidRPr="00E76212">
        <w:rPr>
          <w:rFonts w:ascii="Times New Roman" w:hAnsi="Times New Roman" w:cs="Times New Roman"/>
          <w:b/>
          <w:noProof/>
          <w:sz w:val="24"/>
          <w:szCs w:val="24"/>
        </w:rPr>
        <w:drawing>
          <wp:anchor distT="0" distB="0" distL="114300" distR="114300" simplePos="0" relativeHeight="251659264" behindDoc="1" locked="0" layoutInCell="1" allowOverlap="1">
            <wp:simplePos x="0" y="0"/>
            <wp:positionH relativeFrom="column">
              <wp:posOffset>-44450</wp:posOffset>
            </wp:positionH>
            <wp:positionV relativeFrom="paragraph">
              <wp:posOffset>-276225</wp:posOffset>
            </wp:positionV>
            <wp:extent cx="750570" cy="1082040"/>
            <wp:effectExtent l="19050" t="0" r="0" b="0"/>
            <wp:wrapSquare wrapText="bothSides"/>
            <wp:docPr id="3"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E76212">
        <w:rPr>
          <w:rFonts w:ascii="Times New Roman" w:hAnsi="Times New Roman" w:cs="Times New Roman"/>
          <w:b/>
          <w:sz w:val="24"/>
          <w:szCs w:val="24"/>
        </w:rPr>
        <w:t>ROMÂNIA</w:t>
      </w:r>
    </w:p>
    <w:p w:rsidR="00714B6F" w:rsidRPr="00E76212" w:rsidRDefault="00714B6F" w:rsidP="00714B6F">
      <w:pPr>
        <w:pStyle w:val="NoSpacing"/>
        <w:rPr>
          <w:rFonts w:ascii="Times New Roman" w:hAnsi="Times New Roman" w:cs="Times New Roman"/>
          <w:b/>
          <w:sz w:val="24"/>
          <w:szCs w:val="24"/>
        </w:rPr>
      </w:pPr>
      <w:r w:rsidRPr="00E76212">
        <w:rPr>
          <w:rFonts w:ascii="Times New Roman" w:hAnsi="Times New Roman" w:cs="Times New Roman"/>
          <w:b/>
          <w:sz w:val="24"/>
          <w:szCs w:val="24"/>
        </w:rPr>
        <w:t>JUDEŢUL TIMIŞ</w:t>
      </w:r>
    </w:p>
    <w:p w:rsidR="00714B6F" w:rsidRPr="00E76212" w:rsidRDefault="00714B6F" w:rsidP="00714B6F">
      <w:pPr>
        <w:pStyle w:val="NoSpacing"/>
        <w:rPr>
          <w:rFonts w:ascii="Times New Roman" w:hAnsi="Times New Roman" w:cs="Times New Roman"/>
          <w:b/>
          <w:sz w:val="24"/>
          <w:szCs w:val="24"/>
        </w:rPr>
      </w:pPr>
      <w:r w:rsidRPr="00E76212">
        <w:rPr>
          <w:rFonts w:ascii="Times New Roman" w:hAnsi="Times New Roman" w:cs="Times New Roman"/>
          <w:b/>
          <w:sz w:val="24"/>
          <w:szCs w:val="24"/>
        </w:rPr>
        <w:t>MUNICIPIUL TIMIŞOARA</w:t>
      </w:r>
    </w:p>
    <w:p w:rsidR="00714B6F" w:rsidRPr="00E76212" w:rsidRDefault="00714B6F" w:rsidP="00714B6F">
      <w:pPr>
        <w:pStyle w:val="NoSpacing"/>
        <w:rPr>
          <w:rFonts w:ascii="Times New Roman" w:hAnsi="Times New Roman" w:cs="Times New Roman"/>
          <w:b/>
          <w:sz w:val="24"/>
          <w:szCs w:val="24"/>
        </w:rPr>
      </w:pPr>
      <w:r w:rsidRPr="00E76212">
        <w:rPr>
          <w:rFonts w:ascii="Times New Roman" w:hAnsi="Times New Roman" w:cs="Times New Roman"/>
          <w:b/>
          <w:sz w:val="24"/>
          <w:szCs w:val="24"/>
        </w:rPr>
        <w:t>PRIMAR</w:t>
      </w:r>
    </w:p>
    <w:p w:rsidR="00714B6F" w:rsidRPr="00E76212" w:rsidRDefault="00714B6F" w:rsidP="00714B6F">
      <w:pPr>
        <w:pStyle w:val="NoSpacing"/>
        <w:rPr>
          <w:rFonts w:ascii="Times New Roman" w:hAnsi="Times New Roman" w:cs="Times New Roman"/>
          <w:sz w:val="24"/>
          <w:szCs w:val="24"/>
        </w:rPr>
      </w:pPr>
      <w:r w:rsidRPr="00E76212">
        <w:rPr>
          <w:rFonts w:ascii="Times New Roman" w:hAnsi="Times New Roman" w:cs="Times New Roman"/>
          <w:b/>
          <w:sz w:val="24"/>
          <w:szCs w:val="24"/>
        </w:rPr>
        <w:t xml:space="preserve">Nr. </w:t>
      </w:r>
      <w:r w:rsidRPr="00E76212">
        <w:rPr>
          <w:rFonts w:ascii="Times New Roman" w:hAnsi="Times New Roman" w:cs="Times New Roman"/>
          <w:sz w:val="24"/>
          <w:szCs w:val="24"/>
        </w:rPr>
        <w:t>SC2020-19797 din 28.08.2020</w:t>
      </w:r>
    </w:p>
    <w:p w:rsidR="00714B6F" w:rsidRDefault="00714B6F" w:rsidP="00714B6F">
      <w:pPr>
        <w:pStyle w:val="NoSpacing"/>
        <w:rPr>
          <w:rFonts w:ascii="Times New Roman" w:hAnsi="Times New Roman" w:cs="Times New Roman"/>
        </w:rPr>
      </w:pPr>
    </w:p>
    <w:p w:rsidR="00714B6F" w:rsidRDefault="00714B6F" w:rsidP="00714B6F">
      <w:pPr>
        <w:pStyle w:val="NoSpacing"/>
        <w:rPr>
          <w:rFonts w:ascii="Times New Roman" w:hAnsi="Times New Roman" w:cs="Times New Roman"/>
        </w:rPr>
      </w:pPr>
    </w:p>
    <w:p w:rsidR="00714B6F" w:rsidRDefault="00714B6F" w:rsidP="00714B6F">
      <w:pPr>
        <w:pStyle w:val="NoSpacing"/>
        <w:rPr>
          <w:rFonts w:ascii="Times New Roman" w:hAnsi="Times New Roman" w:cs="Times New Roman"/>
        </w:rPr>
      </w:pPr>
    </w:p>
    <w:p w:rsidR="00714B6F" w:rsidRPr="0008759C" w:rsidRDefault="00714B6F" w:rsidP="00714B6F">
      <w:pPr>
        <w:pStyle w:val="NoSpacing"/>
        <w:rPr>
          <w:rFonts w:ascii="Times New Roman" w:hAnsi="Times New Roman" w:cs="Times New Roman"/>
        </w:rPr>
      </w:pPr>
    </w:p>
    <w:p w:rsidR="00714B6F" w:rsidRPr="0008759C" w:rsidRDefault="00714B6F" w:rsidP="00714B6F">
      <w:pPr>
        <w:spacing w:after="180" w:line="206" w:lineRule="auto"/>
        <w:jc w:val="center"/>
      </w:pPr>
    </w:p>
    <w:p w:rsidR="00714B6F" w:rsidRPr="00801DAB" w:rsidRDefault="00714B6F" w:rsidP="00714B6F">
      <w:pPr>
        <w:spacing w:line="206" w:lineRule="auto"/>
        <w:jc w:val="center"/>
        <w:rPr>
          <w:b/>
          <w:sz w:val="26"/>
          <w:szCs w:val="26"/>
          <w:lang w:val="pt-BR"/>
        </w:rPr>
      </w:pPr>
      <w:r w:rsidRPr="00D24E57">
        <w:rPr>
          <w:b/>
          <w:color w:val="000000"/>
          <w:sz w:val="26"/>
          <w:szCs w:val="26"/>
        </w:rPr>
        <w:t xml:space="preserve">       </w:t>
      </w:r>
      <w:r w:rsidRPr="0008759C">
        <w:rPr>
          <w:b/>
          <w:color w:val="000000"/>
          <w:sz w:val="26"/>
          <w:szCs w:val="26"/>
          <w:u w:val="single"/>
        </w:rPr>
        <w:t>REFERAT DE  APROBARE  A PROIECTULUI DE HOTĂRÂRE</w:t>
      </w:r>
    </w:p>
    <w:p w:rsidR="00714B6F" w:rsidRPr="008D69CD" w:rsidRDefault="00714B6F" w:rsidP="00714B6F">
      <w:pPr>
        <w:tabs>
          <w:tab w:val="left" w:pos="1800"/>
          <w:tab w:val="left" w:pos="1980"/>
          <w:tab w:val="left" w:pos="2340"/>
        </w:tabs>
        <w:ind w:left="720"/>
        <w:rPr>
          <w:b/>
          <w:bCs/>
          <w:color w:val="000000"/>
          <w:lang w:val="pt-BR"/>
        </w:rPr>
      </w:pPr>
      <w:r>
        <w:rPr>
          <w:b/>
          <w:bCs/>
          <w:color w:val="000000"/>
          <w:sz w:val="26"/>
          <w:szCs w:val="26"/>
          <w:lang w:val="pt-BR"/>
        </w:rPr>
        <w:tab/>
      </w:r>
      <w:r w:rsidRPr="008D69CD">
        <w:rPr>
          <w:b/>
          <w:bCs/>
          <w:color w:val="000000"/>
          <w:lang w:val="pt-BR"/>
        </w:rPr>
        <w:t xml:space="preserve"> privind vânzarea terenulului aferent construcţiilor dobândite în baza Legii nr.112/1995, situat în Timişoara Calea Aradului nr.28, conform Sentinței civile nr.3173/2017</w:t>
      </w:r>
    </w:p>
    <w:p w:rsidR="00714B6F" w:rsidRPr="008D69CD" w:rsidRDefault="00714B6F" w:rsidP="00714B6F">
      <w:pPr>
        <w:tabs>
          <w:tab w:val="left" w:pos="1800"/>
          <w:tab w:val="left" w:pos="1980"/>
          <w:tab w:val="left" w:pos="2340"/>
        </w:tabs>
        <w:ind w:left="720"/>
        <w:rPr>
          <w:b/>
          <w:bCs/>
          <w:color w:val="000000"/>
          <w:lang w:val="pt-BR"/>
        </w:rPr>
      </w:pPr>
    </w:p>
    <w:p w:rsidR="00714B6F" w:rsidRPr="008D69CD" w:rsidRDefault="00714B6F" w:rsidP="00714B6F">
      <w:pPr>
        <w:ind w:firstLine="720"/>
        <w:jc w:val="both"/>
        <w:rPr>
          <w:bCs/>
          <w:color w:val="000000"/>
          <w:lang w:val="pt-BR"/>
        </w:rPr>
      </w:pPr>
      <w:r w:rsidRPr="008D69CD">
        <w:rPr>
          <w:bCs/>
          <w:color w:val="000000"/>
          <w:lang w:val="pt-BR"/>
        </w:rPr>
        <w:t>Prin adresa nr.CT2014-2903 din 16.06.2014, înregistrată la Primăria Municipiului Timişoara de către Daia Gheorghe și Daia Maricica-Crezantina, cu domiciliul în</w:t>
      </w:r>
      <w:r>
        <w:rPr>
          <w:bCs/>
          <w:color w:val="000000"/>
          <w:lang w:val="pt-BR"/>
        </w:rPr>
        <w:t xml:space="preserve"> Timișoara </w:t>
      </w:r>
      <w:r w:rsidRPr="008D69CD">
        <w:rPr>
          <w:bCs/>
          <w:color w:val="000000"/>
          <w:lang w:val="pt-BR"/>
        </w:rPr>
        <w:t>Calea Aradului nr.28, solicită, în calitate de proprietari a imobilului-construcție situat la adresa menţionată, să le vindem terenul excedentar construcţiilor cumpărate în baza Legii nr.112/1995;</w:t>
      </w:r>
    </w:p>
    <w:p w:rsidR="00714B6F" w:rsidRPr="008D69CD" w:rsidRDefault="00714B6F" w:rsidP="00714B6F">
      <w:pPr>
        <w:ind w:firstLine="720"/>
        <w:jc w:val="both"/>
        <w:rPr>
          <w:lang w:val="pt-BR"/>
        </w:rPr>
      </w:pPr>
      <w:r w:rsidRPr="008D69CD">
        <w:rPr>
          <w:lang w:val="pt-BR"/>
        </w:rPr>
        <w:t>Prin H.C.L. nr.360 din 18.06.2013, s-a aprobat trecerea terenului, în suprafață de 1875 m.p., din proprietatea Statului Român în proprietatea privată a  municipiului Timișoara;</w:t>
      </w:r>
    </w:p>
    <w:p w:rsidR="00714B6F" w:rsidRPr="008D69CD" w:rsidRDefault="00714B6F" w:rsidP="00714B6F">
      <w:pPr>
        <w:ind w:firstLine="720"/>
        <w:jc w:val="both"/>
        <w:rPr>
          <w:bCs/>
          <w:color w:val="000000"/>
          <w:lang w:val="pt-BR"/>
        </w:rPr>
      </w:pPr>
      <w:r w:rsidRPr="008D69CD">
        <w:rPr>
          <w:lang w:val="pt-BR"/>
        </w:rPr>
        <w:t xml:space="preserve">Prin Ordinul nr.572 din 04.07.2014, emis de Instituția Prefectului – Timiș, cota de 150/1875 parte din terenul aferent construcțiilor, a fost atribuită în proprietatea numiților  </w:t>
      </w:r>
      <w:r w:rsidRPr="008D69CD">
        <w:rPr>
          <w:bCs/>
          <w:color w:val="000000"/>
          <w:lang w:val="pt-BR"/>
        </w:rPr>
        <w:t>Daia Gheorghe și Daia Maricica-Crezantina ;</w:t>
      </w:r>
    </w:p>
    <w:p w:rsidR="00714B6F" w:rsidRPr="008D69CD" w:rsidRDefault="00714B6F" w:rsidP="00714B6F">
      <w:pPr>
        <w:jc w:val="both"/>
        <w:rPr>
          <w:lang w:val="pt-BR"/>
        </w:rPr>
      </w:pPr>
      <w:r>
        <w:rPr>
          <w:bCs/>
          <w:color w:val="000000"/>
          <w:lang w:val="pt-BR"/>
        </w:rPr>
        <w:tab/>
        <w:t>Prin adresa cu nr.</w:t>
      </w:r>
      <w:r w:rsidRPr="008D69CD">
        <w:rPr>
          <w:bCs/>
          <w:color w:val="000000"/>
          <w:lang w:val="pt-BR"/>
        </w:rPr>
        <w:t>SJ2018-1431 din 02.05.2018, Serviciului Juridic din cadrul Municipiului Timişoara</w:t>
      </w:r>
      <w:r w:rsidRPr="008D69CD">
        <w:rPr>
          <w:lang w:val="pt-BR"/>
        </w:rPr>
        <w:t xml:space="preserve">, </w:t>
      </w:r>
      <w:r w:rsidRPr="008D69CD">
        <w:rPr>
          <w:bCs/>
          <w:color w:val="000000"/>
          <w:lang w:val="pt-BR"/>
        </w:rPr>
        <w:t xml:space="preserve">ne solicită punerea în executare a Sentinţei Civile nr. 3173 din 07.07.2017, pronunţată la Tribunalul Timiș, </w:t>
      </w:r>
      <w:r w:rsidRPr="008D69CD">
        <w:rPr>
          <w:lang w:val="pt-BR"/>
        </w:rPr>
        <w:t xml:space="preserve">privind vânzarea terenului în suprafață de 1725 m.p.,(cota de 1725/1875), înscris în C.F. nr.408484-Timișoara, nr. topo.28893, 28892/1/1/2, 28897/2, aflat în proprietatea municipiului Timișoara și care excede construcțiilor situate în Timișoara Calea Aradului nr.28; </w:t>
      </w:r>
      <w:r w:rsidRPr="008D69CD">
        <w:rPr>
          <w:lang w:val="pt-BR"/>
        </w:rPr>
        <w:tab/>
        <w:t xml:space="preserve"> </w:t>
      </w:r>
    </w:p>
    <w:p w:rsidR="00714B6F" w:rsidRPr="008D69CD" w:rsidRDefault="00714B6F" w:rsidP="00714B6F">
      <w:pPr>
        <w:ind w:firstLine="720"/>
        <w:jc w:val="both"/>
        <w:rPr>
          <w:lang w:val="pt-BR"/>
        </w:rPr>
      </w:pPr>
      <w:r w:rsidRPr="008D69CD">
        <w:rPr>
          <w:rFonts w:eastAsia="Calibri"/>
          <w:color w:val="000000"/>
        </w:rPr>
        <w:t xml:space="preserve">Prin Raportul de evaluare </w:t>
      </w:r>
      <w:r>
        <w:rPr>
          <w:rFonts w:eastAsia="Calibri"/>
          <w:color w:val="000000"/>
        </w:rPr>
        <w:t xml:space="preserve">nr.EPI 48, </w:t>
      </w:r>
      <w:r w:rsidRPr="008D69CD">
        <w:rPr>
          <w:rFonts w:eastAsia="Calibri"/>
          <w:color w:val="000000"/>
        </w:rPr>
        <w:t xml:space="preserve">întocmit de </w:t>
      </w:r>
      <w:r>
        <w:rPr>
          <w:rFonts w:eastAsia="Calibri"/>
          <w:color w:val="000000"/>
        </w:rPr>
        <w:t xml:space="preserve">către evaluator autorizat Goron Vasile, </w:t>
      </w:r>
      <w:r w:rsidRPr="008D69CD">
        <w:rPr>
          <w:rFonts w:eastAsia="Calibri"/>
          <w:color w:val="000000"/>
        </w:rPr>
        <w:t xml:space="preserve">la data de 25.05.2020, terenul a fost evaluat la 265 euro/m.p., </w:t>
      </w:r>
      <w:r>
        <w:rPr>
          <w:rFonts w:eastAsia="Calibri"/>
          <w:color w:val="000000"/>
        </w:rPr>
        <w:t>respectiv</w:t>
      </w:r>
      <w:r w:rsidRPr="008D69CD">
        <w:rPr>
          <w:rFonts w:eastAsia="Calibri"/>
          <w:color w:val="000000"/>
        </w:rPr>
        <w:t xml:space="preserve"> suma de 2.402.000 lei</w:t>
      </w:r>
      <w:r>
        <w:rPr>
          <w:rFonts w:eastAsia="Calibri"/>
          <w:color w:val="000000"/>
        </w:rPr>
        <w:t>, fără TVA,</w:t>
      </w:r>
      <w:r w:rsidRPr="008D69CD">
        <w:rPr>
          <w:rFonts w:eastAsia="Calibri"/>
          <w:color w:val="000000"/>
        </w:rPr>
        <w:t xml:space="preserve"> pentru suprafața de 1.725 m.p.</w:t>
      </w:r>
    </w:p>
    <w:p w:rsidR="00714B6F" w:rsidRPr="008D69CD" w:rsidRDefault="00714B6F" w:rsidP="00714B6F">
      <w:pPr>
        <w:ind w:firstLine="720"/>
        <w:jc w:val="both"/>
        <w:rPr>
          <w:bCs/>
          <w:color w:val="000000"/>
          <w:lang w:val="pt-BR"/>
        </w:rPr>
      </w:pPr>
      <w:r w:rsidRPr="008D69CD">
        <w:rPr>
          <w:lang w:val="pt-BR"/>
        </w:rPr>
        <w:t xml:space="preserve">Prin Decizia nr.30/2016 a Camerei de Conturi Timiș și Decizia civilă nr.2393 din 13.12.2018 a Curții de Apel Timișoara, </w:t>
      </w:r>
      <w:r w:rsidRPr="008D69CD">
        <w:rPr>
          <w:rFonts w:eastAsia="Calibri"/>
          <w:color w:val="000000"/>
        </w:rPr>
        <w:t>s-a stabilit ca, sumele rezultate din vânzarea terenurilor menționate mai sus, nu pot fi asimilate veniturilor proprii ale unități administrative teritoriale(în speță Municipiul Timișoara), ci ar trebui virate în fondul extrabugetar creat la nivelul Ministerului de Finanțe, potrivit art.13, din Legea nr.112/1995, referitor la constituirea fondului extrabugetar, după deducerea comisionului de 1%;</w:t>
      </w:r>
      <w:r w:rsidRPr="008D69CD">
        <w:rPr>
          <w:lang w:val="pt-BR"/>
        </w:rPr>
        <w:t xml:space="preserve"> </w:t>
      </w:r>
    </w:p>
    <w:p w:rsidR="00714B6F" w:rsidRPr="008D69CD" w:rsidRDefault="00714B6F" w:rsidP="00714B6F">
      <w:pPr>
        <w:ind w:firstLine="708"/>
        <w:jc w:val="both"/>
        <w:rPr>
          <w:bCs/>
          <w:color w:val="000000"/>
          <w:lang w:val="es-ES"/>
        </w:rPr>
      </w:pPr>
      <w:r w:rsidRPr="008D69CD">
        <w:rPr>
          <w:bCs/>
          <w:color w:val="000000"/>
        </w:rPr>
        <w:t xml:space="preserve">Având în vedere cele menționate mai sus, în baza prevederilor Legii nr.7/1996 </w:t>
      </w:r>
      <w:r w:rsidRPr="008D69CD">
        <w:rPr>
          <w:bCs/>
          <w:i/>
          <w:color w:val="000000"/>
        </w:rPr>
        <w:t>-  a cadastrului şi publicităţii imobiliare</w:t>
      </w:r>
      <w:r w:rsidRPr="008D69CD">
        <w:rPr>
          <w:bCs/>
          <w:color w:val="000000"/>
        </w:rPr>
        <w:t xml:space="preserve">, modificată și a prevederilor </w:t>
      </w:r>
      <w:r w:rsidRPr="008D69CD">
        <w:rPr>
          <w:rFonts w:eastAsiaTheme="minorHAnsi"/>
          <w:color w:val="000000"/>
        </w:rPr>
        <w:t xml:space="preserve">art.129, alin.1, alin.2 lit.c, din O.U.G. nr.57/2019 -  </w:t>
      </w:r>
      <w:r w:rsidRPr="008D69CD">
        <w:rPr>
          <w:rFonts w:eastAsiaTheme="minorHAnsi"/>
          <w:i/>
          <w:iCs/>
          <w:color w:val="000000"/>
        </w:rPr>
        <w:t>privind Codul administrativ</w:t>
      </w:r>
      <w:r w:rsidRPr="008D69CD">
        <w:rPr>
          <w:rFonts w:eastAsiaTheme="minorHAnsi"/>
          <w:color w:val="000000"/>
        </w:rPr>
        <w:t xml:space="preserve">, </w:t>
      </w:r>
      <w:r w:rsidRPr="008D69CD">
        <w:rPr>
          <w:bCs/>
          <w:color w:val="000000"/>
        </w:rPr>
        <w:t xml:space="preserve">considerăm oportun, iniţierea unui proiect de hotărâre </w:t>
      </w:r>
      <w:proofErr w:type="spellStart"/>
      <w:r w:rsidRPr="008D69CD">
        <w:rPr>
          <w:bCs/>
          <w:color w:val="000000"/>
          <w:lang w:val="es-ES"/>
        </w:rPr>
        <w:t>privind</w:t>
      </w:r>
      <w:proofErr w:type="spellEnd"/>
      <w:r w:rsidRPr="008D69CD">
        <w:rPr>
          <w:bCs/>
          <w:color w:val="000000"/>
          <w:lang w:val="es-ES"/>
        </w:rPr>
        <w:t xml:space="preserve"> </w:t>
      </w:r>
      <w:proofErr w:type="spellStart"/>
      <w:r w:rsidRPr="008D69CD">
        <w:rPr>
          <w:bCs/>
          <w:color w:val="000000"/>
          <w:lang w:val="es-ES"/>
        </w:rPr>
        <w:t>vânzarea</w:t>
      </w:r>
      <w:proofErr w:type="spellEnd"/>
      <w:r w:rsidRPr="008D69CD">
        <w:rPr>
          <w:bCs/>
          <w:color w:val="000000"/>
          <w:lang w:val="es-ES"/>
        </w:rPr>
        <w:t xml:space="preserve"> </w:t>
      </w:r>
      <w:proofErr w:type="spellStart"/>
      <w:r w:rsidRPr="008D69CD">
        <w:rPr>
          <w:bCs/>
          <w:color w:val="000000"/>
          <w:lang w:val="es-ES"/>
        </w:rPr>
        <w:t>terenului</w:t>
      </w:r>
      <w:proofErr w:type="spellEnd"/>
      <w:r w:rsidRPr="008D69CD">
        <w:rPr>
          <w:bCs/>
          <w:color w:val="000000"/>
          <w:lang w:val="es-ES"/>
        </w:rPr>
        <w:t xml:space="preserve"> </w:t>
      </w:r>
      <w:proofErr w:type="spellStart"/>
      <w:r w:rsidRPr="008D69CD">
        <w:rPr>
          <w:bCs/>
          <w:color w:val="000000"/>
          <w:lang w:val="es-ES"/>
        </w:rPr>
        <w:t>menţionat</w:t>
      </w:r>
      <w:proofErr w:type="spellEnd"/>
      <w:r w:rsidRPr="008D69CD">
        <w:rPr>
          <w:bCs/>
          <w:color w:val="000000"/>
          <w:lang w:val="es-ES"/>
        </w:rPr>
        <w:t xml:space="preserve"> </w:t>
      </w:r>
      <w:proofErr w:type="spellStart"/>
      <w:r w:rsidRPr="008D69CD">
        <w:rPr>
          <w:bCs/>
          <w:color w:val="000000"/>
          <w:lang w:val="es-ES"/>
        </w:rPr>
        <w:t>mai</w:t>
      </w:r>
      <w:proofErr w:type="spellEnd"/>
      <w:r w:rsidRPr="008D69CD">
        <w:rPr>
          <w:bCs/>
          <w:color w:val="000000"/>
          <w:lang w:val="es-ES"/>
        </w:rPr>
        <w:t xml:space="preserve"> sus, </w:t>
      </w:r>
      <w:proofErr w:type="spellStart"/>
      <w:r w:rsidRPr="008D69CD">
        <w:rPr>
          <w:bCs/>
          <w:color w:val="000000"/>
          <w:lang w:val="es-ES"/>
        </w:rPr>
        <w:t>conform</w:t>
      </w:r>
      <w:proofErr w:type="spellEnd"/>
      <w:r w:rsidRPr="008D69CD">
        <w:rPr>
          <w:bCs/>
          <w:color w:val="000000"/>
          <w:lang w:val="es-ES"/>
        </w:rPr>
        <w:t xml:space="preserve"> </w:t>
      </w:r>
      <w:proofErr w:type="spellStart"/>
      <w:r w:rsidRPr="008D69CD">
        <w:rPr>
          <w:bCs/>
          <w:color w:val="000000"/>
          <w:lang w:val="es-ES"/>
        </w:rPr>
        <w:t>prevederilor</w:t>
      </w:r>
      <w:proofErr w:type="spellEnd"/>
      <w:r w:rsidRPr="008D69CD">
        <w:rPr>
          <w:bCs/>
          <w:color w:val="000000"/>
          <w:lang w:val="es-ES"/>
        </w:rPr>
        <w:t xml:space="preserve"> </w:t>
      </w:r>
      <w:proofErr w:type="spellStart"/>
      <w:r w:rsidRPr="008D69CD">
        <w:rPr>
          <w:bCs/>
          <w:color w:val="000000"/>
          <w:lang w:val="es-ES"/>
        </w:rPr>
        <w:t>hotărârilor</w:t>
      </w:r>
      <w:proofErr w:type="spellEnd"/>
      <w:r w:rsidRPr="008D69CD">
        <w:rPr>
          <w:bCs/>
          <w:color w:val="000000"/>
          <w:lang w:val="es-ES"/>
        </w:rPr>
        <w:t xml:space="preserve"> </w:t>
      </w:r>
      <w:proofErr w:type="spellStart"/>
      <w:r w:rsidRPr="008D69CD">
        <w:rPr>
          <w:bCs/>
          <w:color w:val="000000"/>
          <w:lang w:val="es-ES"/>
        </w:rPr>
        <w:t>judecătoreşti</w:t>
      </w:r>
      <w:proofErr w:type="spellEnd"/>
      <w:r w:rsidRPr="008D69CD">
        <w:rPr>
          <w:bCs/>
          <w:color w:val="000000"/>
          <w:lang w:val="es-ES"/>
        </w:rPr>
        <w:t xml:space="preserve">. </w:t>
      </w:r>
    </w:p>
    <w:p w:rsidR="00714B6F" w:rsidRPr="008D69CD" w:rsidRDefault="00714B6F" w:rsidP="00714B6F">
      <w:pPr>
        <w:adjustRightInd w:val="0"/>
        <w:jc w:val="both"/>
        <w:rPr>
          <w:bCs/>
          <w:color w:val="000000"/>
          <w:lang w:val="es-ES"/>
        </w:rPr>
      </w:pPr>
    </w:p>
    <w:p w:rsidR="00714B6F" w:rsidRPr="008D69CD" w:rsidRDefault="00714B6F" w:rsidP="00714B6F">
      <w:pPr>
        <w:adjustRightInd w:val="0"/>
        <w:jc w:val="both"/>
        <w:rPr>
          <w:b/>
          <w:bCs/>
          <w:color w:val="000000"/>
          <w:lang w:val="es-ES"/>
        </w:rPr>
      </w:pPr>
      <w:r w:rsidRPr="008D69CD">
        <w:rPr>
          <w:b/>
          <w:bCs/>
          <w:color w:val="000000"/>
          <w:lang w:val="es-ES"/>
        </w:rPr>
        <w:tab/>
        <w:t xml:space="preserve">       PRIMAR,</w:t>
      </w:r>
      <w:r w:rsidRPr="008D69CD">
        <w:rPr>
          <w:b/>
          <w:bCs/>
          <w:color w:val="000000"/>
          <w:lang w:val="es-ES"/>
        </w:rPr>
        <w:tab/>
      </w:r>
      <w:r w:rsidRPr="008D69CD">
        <w:rPr>
          <w:b/>
          <w:bCs/>
          <w:color w:val="000000"/>
          <w:lang w:val="es-ES"/>
        </w:rPr>
        <w:tab/>
      </w:r>
      <w:r w:rsidRPr="008D69CD">
        <w:rPr>
          <w:b/>
          <w:bCs/>
          <w:color w:val="000000"/>
          <w:lang w:val="es-ES"/>
        </w:rPr>
        <w:tab/>
      </w:r>
      <w:r w:rsidRPr="008D69CD">
        <w:rPr>
          <w:b/>
          <w:bCs/>
          <w:color w:val="000000"/>
          <w:lang w:val="es-ES"/>
        </w:rPr>
        <w:tab/>
      </w:r>
      <w:r w:rsidRPr="008D69CD">
        <w:rPr>
          <w:b/>
          <w:bCs/>
          <w:color w:val="000000"/>
          <w:lang w:val="es-ES"/>
        </w:rPr>
        <w:tab/>
      </w:r>
      <w:r w:rsidRPr="008D69CD">
        <w:rPr>
          <w:b/>
          <w:bCs/>
          <w:color w:val="000000"/>
          <w:lang w:val="es-ES"/>
        </w:rPr>
        <w:tab/>
      </w:r>
      <w:r w:rsidRPr="008D69CD">
        <w:rPr>
          <w:b/>
          <w:bCs/>
          <w:color w:val="000000"/>
          <w:lang w:val="es-ES"/>
        </w:rPr>
        <w:tab/>
        <w:t xml:space="preserve">  VICEPRIMAR,</w:t>
      </w:r>
    </w:p>
    <w:p w:rsidR="00714B6F" w:rsidRPr="008D69CD" w:rsidRDefault="00714B6F" w:rsidP="00714B6F">
      <w:pPr>
        <w:adjustRightInd w:val="0"/>
        <w:jc w:val="both"/>
        <w:rPr>
          <w:b/>
          <w:bCs/>
          <w:color w:val="000000"/>
          <w:lang w:val="es-ES"/>
        </w:rPr>
      </w:pPr>
      <w:r w:rsidRPr="008D69CD">
        <w:rPr>
          <w:b/>
          <w:bCs/>
          <w:color w:val="000000"/>
          <w:lang w:val="es-ES"/>
        </w:rPr>
        <w:tab/>
        <w:t xml:space="preserve">    </w:t>
      </w:r>
      <w:proofErr w:type="spellStart"/>
      <w:r w:rsidRPr="008D69CD">
        <w:rPr>
          <w:b/>
          <w:bCs/>
          <w:color w:val="000000"/>
          <w:lang w:val="es-ES"/>
        </w:rPr>
        <w:t>Nicolae</w:t>
      </w:r>
      <w:proofErr w:type="spellEnd"/>
      <w:r w:rsidRPr="008D69CD">
        <w:rPr>
          <w:b/>
          <w:bCs/>
          <w:color w:val="000000"/>
          <w:lang w:val="es-ES"/>
        </w:rPr>
        <w:t xml:space="preserve"> </w:t>
      </w:r>
      <w:proofErr w:type="spellStart"/>
      <w:r w:rsidRPr="008D69CD">
        <w:rPr>
          <w:b/>
          <w:bCs/>
          <w:color w:val="000000"/>
          <w:lang w:val="es-ES"/>
        </w:rPr>
        <w:t>Robu</w:t>
      </w:r>
      <w:proofErr w:type="spellEnd"/>
      <w:r w:rsidRPr="008D69CD">
        <w:rPr>
          <w:b/>
          <w:bCs/>
          <w:color w:val="000000"/>
          <w:lang w:val="es-ES"/>
        </w:rPr>
        <w:tab/>
      </w:r>
      <w:r w:rsidRPr="008D69CD">
        <w:rPr>
          <w:b/>
          <w:bCs/>
          <w:color w:val="000000"/>
          <w:lang w:val="es-ES"/>
        </w:rPr>
        <w:tab/>
      </w:r>
      <w:r w:rsidRPr="008D69CD">
        <w:rPr>
          <w:b/>
          <w:bCs/>
          <w:color w:val="000000"/>
          <w:lang w:val="es-ES"/>
        </w:rPr>
        <w:tab/>
      </w:r>
      <w:r w:rsidRPr="008D69CD">
        <w:rPr>
          <w:b/>
          <w:bCs/>
          <w:color w:val="000000"/>
          <w:lang w:val="es-ES"/>
        </w:rPr>
        <w:tab/>
      </w:r>
      <w:r w:rsidRPr="008D69CD">
        <w:rPr>
          <w:b/>
          <w:bCs/>
          <w:color w:val="000000"/>
          <w:lang w:val="es-ES"/>
        </w:rPr>
        <w:tab/>
      </w:r>
      <w:r w:rsidRPr="008D69CD">
        <w:rPr>
          <w:b/>
          <w:bCs/>
          <w:color w:val="000000"/>
          <w:lang w:val="es-ES"/>
        </w:rPr>
        <w:tab/>
      </w:r>
      <w:r w:rsidRPr="008D69CD">
        <w:rPr>
          <w:b/>
          <w:bCs/>
          <w:color w:val="000000"/>
          <w:lang w:val="es-ES"/>
        </w:rPr>
        <w:tab/>
        <w:t xml:space="preserve">     </w:t>
      </w:r>
      <w:proofErr w:type="spellStart"/>
      <w:r w:rsidRPr="008D69CD">
        <w:rPr>
          <w:b/>
          <w:bCs/>
          <w:color w:val="000000"/>
          <w:lang w:val="es-ES"/>
        </w:rPr>
        <w:t>Farkas</w:t>
      </w:r>
      <w:proofErr w:type="spellEnd"/>
      <w:r w:rsidRPr="008D69CD">
        <w:rPr>
          <w:b/>
          <w:bCs/>
          <w:color w:val="000000"/>
          <w:lang w:val="es-ES"/>
        </w:rPr>
        <w:t xml:space="preserve"> </w:t>
      </w:r>
      <w:proofErr w:type="spellStart"/>
      <w:r w:rsidRPr="008D69CD">
        <w:rPr>
          <w:b/>
          <w:bCs/>
          <w:color w:val="000000"/>
          <w:lang w:val="es-ES"/>
        </w:rPr>
        <w:t>Imre</w:t>
      </w:r>
      <w:proofErr w:type="spellEnd"/>
    </w:p>
    <w:p w:rsidR="00714B6F" w:rsidRPr="008D69CD" w:rsidRDefault="00714B6F" w:rsidP="00714B6F">
      <w:pPr>
        <w:adjustRightInd w:val="0"/>
        <w:jc w:val="both"/>
        <w:rPr>
          <w:b/>
          <w:bCs/>
          <w:color w:val="000000"/>
          <w:lang w:val="es-ES"/>
        </w:rPr>
      </w:pPr>
    </w:p>
    <w:p w:rsidR="00714B6F" w:rsidRPr="008D69CD" w:rsidRDefault="00714B6F" w:rsidP="00714B6F">
      <w:pPr>
        <w:adjustRightInd w:val="0"/>
        <w:jc w:val="both"/>
        <w:rPr>
          <w:b/>
          <w:bCs/>
          <w:color w:val="000000"/>
          <w:lang w:val="es-ES"/>
        </w:rPr>
      </w:pPr>
      <w:r w:rsidRPr="008D69CD">
        <w:rPr>
          <w:b/>
          <w:bCs/>
          <w:color w:val="000000"/>
          <w:lang w:val="es-ES"/>
        </w:rPr>
        <w:t xml:space="preserve"> </w:t>
      </w:r>
    </w:p>
    <w:p w:rsidR="00714B6F" w:rsidRPr="008D69CD" w:rsidRDefault="00714B6F" w:rsidP="00714B6F">
      <w:pPr>
        <w:adjustRightInd w:val="0"/>
        <w:jc w:val="both"/>
        <w:rPr>
          <w:bCs/>
          <w:color w:val="000000"/>
          <w:lang w:val="es-ES"/>
        </w:rPr>
      </w:pPr>
    </w:p>
    <w:p w:rsidR="00714B6F" w:rsidRPr="008D69CD" w:rsidRDefault="00714B6F" w:rsidP="00714B6F">
      <w:pPr>
        <w:adjustRightInd w:val="0"/>
        <w:jc w:val="both"/>
        <w:rPr>
          <w:b/>
          <w:bCs/>
          <w:color w:val="000000"/>
          <w:lang w:val="es-ES"/>
        </w:rPr>
      </w:pPr>
      <w:r w:rsidRPr="008D69CD">
        <w:rPr>
          <w:bCs/>
          <w:color w:val="000000"/>
          <w:lang w:val="es-ES"/>
        </w:rPr>
        <w:tab/>
        <w:t xml:space="preserve">    </w:t>
      </w:r>
      <w:r w:rsidRPr="008D69CD">
        <w:rPr>
          <w:bCs/>
          <w:color w:val="000000"/>
          <w:lang w:val="es-ES"/>
        </w:rPr>
        <w:tab/>
      </w:r>
      <w:r w:rsidRPr="008D69CD">
        <w:rPr>
          <w:bCs/>
          <w:color w:val="000000"/>
          <w:lang w:val="es-ES"/>
        </w:rPr>
        <w:tab/>
      </w:r>
      <w:r w:rsidRPr="008D69CD">
        <w:rPr>
          <w:bCs/>
          <w:color w:val="000000"/>
          <w:lang w:val="es-ES"/>
        </w:rPr>
        <w:tab/>
      </w:r>
      <w:r w:rsidRPr="008D69CD">
        <w:rPr>
          <w:bCs/>
          <w:color w:val="000000"/>
          <w:lang w:val="es-ES"/>
        </w:rPr>
        <w:tab/>
      </w:r>
      <w:r w:rsidRPr="008D69CD">
        <w:rPr>
          <w:bCs/>
          <w:color w:val="000000"/>
          <w:lang w:val="es-ES"/>
        </w:rPr>
        <w:tab/>
        <w:t xml:space="preserve">           </w:t>
      </w:r>
      <w:r w:rsidRPr="008D69CD">
        <w:rPr>
          <w:bCs/>
          <w:color w:val="000000"/>
          <w:lang w:val="es-ES"/>
        </w:rPr>
        <w:tab/>
      </w:r>
      <w:r w:rsidRPr="008D69CD">
        <w:rPr>
          <w:bCs/>
          <w:color w:val="000000"/>
          <w:lang w:val="es-ES"/>
        </w:rPr>
        <w:tab/>
      </w:r>
      <w:r w:rsidRPr="008D69CD">
        <w:rPr>
          <w:bCs/>
          <w:color w:val="000000"/>
          <w:lang w:val="es-ES"/>
        </w:rPr>
        <w:tab/>
      </w:r>
      <w:r w:rsidRPr="008D69CD">
        <w:rPr>
          <w:bCs/>
          <w:color w:val="000000"/>
          <w:lang w:val="es-ES"/>
        </w:rPr>
        <w:tab/>
        <w:t xml:space="preserve">     </w:t>
      </w:r>
      <w:r w:rsidRPr="008D69CD">
        <w:rPr>
          <w:b/>
          <w:bCs/>
          <w:color w:val="000000"/>
          <w:lang w:val="es-ES"/>
        </w:rPr>
        <w:t>DIRECTOR,</w:t>
      </w:r>
    </w:p>
    <w:p w:rsidR="00714B6F" w:rsidRPr="008D69CD" w:rsidRDefault="00714B6F" w:rsidP="00714B6F">
      <w:pPr>
        <w:adjustRightInd w:val="0"/>
        <w:jc w:val="both"/>
        <w:rPr>
          <w:b/>
          <w:bCs/>
          <w:color w:val="000000"/>
          <w:lang w:val="es-ES"/>
        </w:rPr>
      </w:pPr>
      <w:r w:rsidRPr="008D69CD">
        <w:rPr>
          <w:b/>
          <w:bCs/>
          <w:color w:val="000000"/>
          <w:lang w:val="es-ES"/>
        </w:rPr>
        <w:tab/>
      </w:r>
      <w:r w:rsidRPr="008D69CD">
        <w:rPr>
          <w:b/>
          <w:bCs/>
          <w:color w:val="000000"/>
          <w:lang w:val="es-ES"/>
        </w:rPr>
        <w:tab/>
      </w:r>
      <w:r w:rsidRPr="008D69CD">
        <w:rPr>
          <w:b/>
          <w:bCs/>
          <w:color w:val="000000"/>
          <w:lang w:val="es-ES"/>
        </w:rPr>
        <w:tab/>
      </w:r>
      <w:r w:rsidRPr="008D69CD">
        <w:rPr>
          <w:b/>
          <w:bCs/>
          <w:color w:val="000000"/>
          <w:lang w:val="es-ES"/>
        </w:rPr>
        <w:tab/>
      </w:r>
      <w:r w:rsidRPr="008D69CD">
        <w:rPr>
          <w:b/>
          <w:bCs/>
          <w:color w:val="000000"/>
          <w:lang w:val="es-ES"/>
        </w:rPr>
        <w:tab/>
      </w:r>
      <w:r w:rsidRPr="008D69CD">
        <w:rPr>
          <w:b/>
          <w:bCs/>
          <w:color w:val="000000"/>
          <w:lang w:val="es-ES"/>
        </w:rPr>
        <w:tab/>
      </w:r>
      <w:r w:rsidRPr="008D69CD">
        <w:rPr>
          <w:b/>
          <w:bCs/>
          <w:color w:val="000000"/>
          <w:lang w:val="es-ES"/>
        </w:rPr>
        <w:tab/>
        <w:t xml:space="preserve">           </w:t>
      </w:r>
      <w:r w:rsidRPr="008D69CD">
        <w:rPr>
          <w:b/>
          <w:bCs/>
          <w:color w:val="000000"/>
          <w:lang w:val="es-ES"/>
        </w:rPr>
        <w:tab/>
      </w:r>
      <w:r w:rsidRPr="008D69CD">
        <w:rPr>
          <w:b/>
          <w:bCs/>
          <w:color w:val="000000"/>
          <w:lang w:val="es-ES"/>
        </w:rPr>
        <w:tab/>
      </w:r>
      <w:r w:rsidRPr="008D69CD">
        <w:rPr>
          <w:b/>
          <w:bCs/>
          <w:color w:val="000000"/>
          <w:lang w:val="es-ES"/>
        </w:rPr>
        <w:tab/>
        <w:t xml:space="preserve">    </w:t>
      </w:r>
      <w:proofErr w:type="spellStart"/>
      <w:r w:rsidRPr="008D69CD">
        <w:rPr>
          <w:b/>
          <w:bCs/>
          <w:color w:val="000000"/>
          <w:lang w:val="es-ES"/>
        </w:rPr>
        <w:t>Mihai</w:t>
      </w:r>
      <w:proofErr w:type="spellEnd"/>
      <w:r w:rsidRPr="008D69CD">
        <w:rPr>
          <w:b/>
          <w:bCs/>
          <w:color w:val="000000"/>
          <w:lang w:val="es-ES"/>
        </w:rPr>
        <w:t xml:space="preserve"> </w:t>
      </w:r>
      <w:proofErr w:type="spellStart"/>
      <w:r w:rsidRPr="008D69CD">
        <w:rPr>
          <w:b/>
          <w:bCs/>
          <w:color w:val="000000"/>
          <w:lang w:val="es-ES"/>
        </w:rPr>
        <w:t>Boncea</w:t>
      </w:r>
      <w:proofErr w:type="spellEnd"/>
    </w:p>
    <w:p w:rsidR="00714B6F" w:rsidRDefault="00714B6F" w:rsidP="00714B6F">
      <w:pPr>
        <w:adjustRightInd w:val="0"/>
        <w:jc w:val="both"/>
        <w:rPr>
          <w:bCs/>
          <w:color w:val="000000"/>
          <w:lang w:val="es-ES"/>
        </w:rPr>
      </w:pPr>
    </w:p>
    <w:p w:rsidR="00714B6F" w:rsidRPr="00350D2C" w:rsidRDefault="00714B6F" w:rsidP="00714B6F">
      <w:pPr>
        <w:adjustRightInd w:val="0"/>
        <w:jc w:val="both"/>
        <w:rPr>
          <w:bCs/>
          <w:color w:val="000000"/>
          <w:lang w:val="es-ES"/>
        </w:rPr>
      </w:pPr>
    </w:p>
    <w:p w:rsidR="00714B6F" w:rsidRDefault="00714B6F" w:rsidP="00714B6F">
      <w:pPr>
        <w:adjustRightInd w:val="0"/>
        <w:jc w:val="both"/>
        <w:rPr>
          <w:b/>
          <w:lang w:val="pt-BR"/>
        </w:rPr>
      </w:pPr>
      <w:r w:rsidRPr="00350D2C">
        <w:rPr>
          <w:bCs/>
          <w:color w:val="000000"/>
          <w:lang w:val="es-ES"/>
        </w:rPr>
        <w:tab/>
      </w:r>
      <w:r w:rsidRPr="00350D2C">
        <w:rPr>
          <w:bCs/>
          <w:color w:val="000000"/>
          <w:lang w:val="es-ES"/>
        </w:rPr>
        <w:tab/>
      </w:r>
      <w:r w:rsidRPr="00350D2C">
        <w:rPr>
          <w:bCs/>
          <w:color w:val="000000"/>
          <w:lang w:val="es-ES"/>
        </w:rPr>
        <w:tab/>
      </w:r>
      <w:r w:rsidRPr="00350D2C">
        <w:rPr>
          <w:bCs/>
          <w:color w:val="000000"/>
          <w:lang w:val="es-ES"/>
        </w:rPr>
        <w:tab/>
      </w:r>
      <w:r w:rsidRPr="00350D2C">
        <w:rPr>
          <w:bCs/>
          <w:color w:val="000000"/>
          <w:lang w:val="es-ES"/>
        </w:rPr>
        <w:tab/>
      </w:r>
      <w:r w:rsidRPr="00350D2C">
        <w:rPr>
          <w:bCs/>
          <w:color w:val="000000"/>
          <w:lang w:val="es-ES"/>
        </w:rPr>
        <w:tab/>
      </w:r>
      <w:r w:rsidRPr="00350D2C">
        <w:rPr>
          <w:bCs/>
          <w:color w:val="000000"/>
          <w:lang w:val="es-ES"/>
        </w:rPr>
        <w:tab/>
      </w:r>
      <w:r w:rsidRPr="00350D2C">
        <w:rPr>
          <w:bCs/>
          <w:color w:val="000000"/>
          <w:lang w:val="es-ES"/>
        </w:rPr>
        <w:tab/>
      </w:r>
      <w:r w:rsidRPr="00350D2C">
        <w:rPr>
          <w:bCs/>
          <w:color w:val="000000"/>
          <w:lang w:val="es-ES"/>
        </w:rPr>
        <w:tab/>
      </w:r>
      <w:r w:rsidRPr="00350D2C">
        <w:rPr>
          <w:bCs/>
          <w:color w:val="000000"/>
          <w:lang w:val="es-ES"/>
        </w:rPr>
        <w:tab/>
        <w:t xml:space="preserve">                   </w:t>
      </w:r>
      <w:proofErr w:type="spellStart"/>
      <w:r w:rsidRPr="00350D2C">
        <w:rPr>
          <w:bCs/>
          <w:color w:val="000000"/>
          <w:sz w:val="20"/>
          <w:szCs w:val="20"/>
          <w:lang w:val="es-ES"/>
        </w:rPr>
        <w:t>Cod</w:t>
      </w:r>
      <w:proofErr w:type="spellEnd"/>
      <w:r w:rsidRPr="00350D2C">
        <w:rPr>
          <w:bCs/>
          <w:color w:val="000000"/>
          <w:sz w:val="20"/>
          <w:szCs w:val="20"/>
          <w:lang w:val="es-ES"/>
        </w:rPr>
        <w:t xml:space="preserve"> FO53-01, ver.1</w:t>
      </w:r>
    </w:p>
    <w:p w:rsidR="00D73F62" w:rsidRPr="00CF275D" w:rsidRDefault="00D73F62" w:rsidP="00D73F62">
      <w:pPr>
        <w:jc w:val="both"/>
        <w:rPr>
          <w:b/>
        </w:rPr>
      </w:pPr>
    </w:p>
    <w:p w:rsidR="00710C77" w:rsidRDefault="00710C77" w:rsidP="00710C77">
      <w:pPr>
        <w:jc w:val="center"/>
      </w:pPr>
    </w:p>
    <w:sectPr w:rsidR="00710C77" w:rsidSect="00710C77">
      <w:pgSz w:w="12240" w:h="15840"/>
      <w:pgMar w:top="720" w:right="864" w:bottom="288" w:left="11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savePreviewPicture/>
  <w:compat/>
  <w:rsids>
    <w:rsidRoot w:val="00710C77"/>
    <w:rsid w:val="000B4D28"/>
    <w:rsid w:val="0017703F"/>
    <w:rsid w:val="002E75D9"/>
    <w:rsid w:val="00557993"/>
    <w:rsid w:val="00710C77"/>
    <w:rsid w:val="00714B6F"/>
    <w:rsid w:val="007235A5"/>
    <w:rsid w:val="009A3B1B"/>
    <w:rsid w:val="00D73F62"/>
    <w:rsid w:val="00D75305"/>
    <w:rsid w:val="00F327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C77"/>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ttl1">
    <w:name w:val="s_aln_ttl1"/>
    <w:basedOn w:val="DefaultParagraphFont"/>
    <w:rsid w:val="00D73F62"/>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DefaultParagraphFont"/>
    <w:rsid w:val="00D73F62"/>
    <w:rPr>
      <w:rFonts w:ascii="Verdana" w:hAnsi="Verdana" w:hint="default"/>
      <w:b w:val="0"/>
      <w:bCs w:val="0"/>
      <w:color w:val="000000"/>
      <w:sz w:val="16"/>
      <w:szCs w:val="16"/>
      <w:shd w:val="clear" w:color="auto" w:fill="FFFFFF"/>
    </w:rPr>
  </w:style>
  <w:style w:type="character" w:styleId="Hyperlink">
    <w:name w:val="Hyperlink"/>
    <w:basedOn w:val="DefaultParagraphFont"/>
    <w:uiPriority w:val="99"/>
    <w:semiHidden/>
    <w:unhideWhenUsed/>
    <w:rsid w:val="00D73F62"/>
    <w:rPr>
      <w:color w:val="0000FF"/>
      <w:u w:val="single"/>
    </w:rPr>
  </w:style>
  <w:style w:type="paragraph" w:styleId="NoSpacing">
    <w:name w:val="No Spacing"/>
    <w:link w:val="NoSpacingChar"/>
    <w:uiPriority w:val="1"/>
    <w:qFormat/>
    <w:rsid w:val="00714B6F"/>
    <w:pPr>
      <w:spacing w:after="0" w:line="240" w:lineRule="auto"/>
    </w:pPr>
    <w:rPr>
      <w:rFonts w:eastAsiaTheme="minorEastAsia"/>
    </w:rPr>
  </w:style>
  <w:style w:type="character" w:customStyle="1" w:styleId="NoSpacingChar">
    <w:name w:val="No Spacing Char"/>
    <w:basedOn w:val="DefaultParagraphFont"/>
    <w:link w:val="NoSpacing"/>
    <w:uiPriority w:val="1"/>
    <w:rsid w:val="00714B6F"/>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434</Words>
  <Characters>2476</Characters>
  <Application>Microsoft Office Word</Application>
  <DocSecurity>0</DocSecurity>
  <Lines>20</Lines>
  <Paragraphs>5</Paragraphs>
  <ScaleCrop>false</ScaleCrop>
  <Company/>
  <LinksUpToDate>false</LinksUpToDate>
  <CharactersWithSpaces>2905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idumbrava</dc:creator>
  <cp:lastModifiedBy>idumbrava</cp:lastModifiedBy>
  <cp:revision>6</cp:revision>
  <dcterms:created xsi:type="dcterms:W3CDTF">2020-07-31T06:08:00Z</dcterms:created>
  <dcterms:modified xsi:type="dcterms:W3CDTF">2020-09-01T08:30:00Z</dcterms:modified>
</cp:coreProperties>
</file>