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F1" w:rsidRPr="002422E4" w:rsidRDefault="00026AF1" w:rsidP="00026AF1">
      <w:pPr>
        <w:rPr>
          <w:b/>
          <w:sz w:val="22"/>
          <w:szCs w:val="22"/>
        </w:rPr>
      </w:pPr>
      <w:r w:rsidRPr="002422E4">
        <w:rPr>
          <w:b/>
          <w:sz w:val="22"/>
          <w:szCs w:val="22"/>
        </w:rPr>
        <w:t xml:space="preserve">ROMÂNIA                                                                                                         </w:t>
      </w:r>
      <w:r w:rsidR="0079032E" w:rsidRPr="002422E4">
        <w:rPr>
          <w:b/>
          <w:sz w:val="22"/>
          <w:szCs w:val="22"/>
        </w:rPr>
        <w:t xml:space="preserve">   </w:t>
      </w:r>
      <w:r w:rsidRPr="002422E4">
        <w:rPr>
          <w:b/>
          <w:sz w:val="22"/>
          <w:szCs w:val="22"/>
        </w:rPr>
        <w:t xml:space="preserve">  </w:t>
      </w:r>
      <w:r w:rsidR="006C0FD2">
        <w:rPr>
          <w:b/>
          <w:sz w:val="22"/>
          <w:szCs w:val="22"/>
        </w:rPr>
        <w:t xml:space="preserve">                   </w:t>
      </w:r>
      <w:r w:rsidRPr="002422E4">
        <w:rPr>
          <w:b/>
          <w:sz w:val="22"/>
          <w:szCs w:val="22"/>
        </w:rPr>
        <w:t xml:space="preserve"> </w:t>
      </w:r>
      <w:r w:rsidR="006C0FD2">
        <w:rPr>
          <w:b/>
          <w:sz w:val="22"/>
          <w:szCs w:val="22"/>
        </w:rPr>
        <w:t xml:space="preserve">     </w:t>
      </w:r>
      <w:r w:rsidR="004430C4">
        <w:rPr>
          <w:b/>
          <w:sz w:val="22"/>
          <w:szCs w:val="22"/>
        </w:rPr>
        <w:t xml:space="preserve">   </w:t>
      </w:r>
      <w:r w:rsidRPr="002422E4">
        <w:rPr>
          <w:b/>
          <w:sz w:val="22"/>
          <w:szCs w:val="22"/>
        </w:rPr>
        <w:t>APROBAT</w:t>
      </w:r>
    </w:p>
    <w:p w:rsidR="00026AF1" w:rsidRPr="002422E4" w:rsidRDefault="00026AF1" w:rsidP="00026AF1">
      <w:pPr>
        <w:rPr>
          <w:b/>
          <w:sz w:val="22"/>
          <w:szCs w:val="22"/>
        </w:rPr>
      </w:pPr>
      <w:r w:rsidRPr="002422E4">
        <w:rPr>
          <w:b/>
          <w:sz w:val="22"/>
          <w:szCs w:val="22"/>
        </w:rPr>
        <w:t xml:space="preserve">MUNICIPIUL TIMIŞOARA                                                                             </w:t>
      </w:r>
      <w:r w:rsidR="0079032E" w:rsidRPr="002422E4">
        <w:rPr>
          <w:b/>
          <w:sz w:val="22"/>
          <w:szCs w:val="22"/>
        </w:rPr>
        <w:t xml:space="preserve">   </w:t>
      </w:r>
      <w:r w:rsidRPr="002422E4">
        <w:rPr>
          <w:b/>
          <w:sz w:val="22"/>
          <w:szCs w:val="22"/>
        </w:rPr>
        <w:t xml:space="preserve">  </w:t>
      </w:r>
      <w:r w:rsidR="006C0FD2">
        <w:rPr>
          <w:b/>
          <w:sz w:val="22"/>
          <w:szCs w:val="22"/>
        </w:rPr>
        <w:t xml:space="preserve">                        </w:t>
      </w:r>
      <w:r w:rsidRPr="002422E4">
        <w:rPr>
          <w:b/>
          <w:sz w:val="22"/>
          <w:szCs w:val="22"/>
        </w:rPr>
        <w:t xml:space="preserve"> </w:t>
      </w:r>
      <w:r w:rsidR="004430C4">
        <w:rPr>
          <w:b/>
          <w:sz w:val="22"/>
          <w:szCs w:val="22"/>
        </w:rPr>
        <w:t xml:space="preserve">    </w:t>
      </w:r>
      <w:r w:rsidRPr="002422E4">
        <w:rPr>
          <w:b/>
          <w:sz w:val="22"/>
          <w:szCs w:val="22"/>
        </w:rPr>
        <w:t>PRIMAR</w:t>
      </w:r>
    </w:p>
    <w:p w:rsidR="00364B10" w:rsidRPr="002422E4" w:rsidRDefault="00026AF1" w:rsidP="00364B10">
      <w:pPr>
        <w:rPr>
          <w:b/>
          <w:sz w:val="22"/>
          <w:szCs w:val="22"/>
        </w:rPr>
      </w:pPr>
      <w:r w:rsidRPr="002422E4">
        <w:rPr>
          <w:b/>
          <w:sz w:val="22"/>
          <w:szCs w:val="22"/>
        </w:rPr>
        <w:t>COMPARTIMENTUL REABILITARE TERMICĂ CLĂDIRI</w:t>
      </w:r>
      <w:r w:rsidR="00364B10" w:rsidRPr="002422E4">
        <w:rPr>
          <w:b/>
          <w:sz w:val="22"/>
          <w:szCs w:val="22"/>
        </w:rPr>
        <w:t xml:space="preserve">             </w:t>
      </w:r>
      <w:r w:rsidR="006C0FD2">
        <w:rPr>
          <w:b/>
          <w:sz w:val="22"/>
          <w:szCs w:val="22"/>
        </w:rPr>
        <w:t xml:space="preserve">                             </w:t>
      </w:r>
      <w:r w:rsidR="004430C4">
        <w:rPr>
          <w:b/>
          <w:sz w:val="22"/>
          <w:szCs w:val="22"/>
        </w:rPr>
        <w:t xml:space="preserve">     </w:t>
      </w:r>
      <w:r w:rsidR="006C0FD2">
        <w:rPr>
          <w:b/>
          <w:sz w:val="22"/>
          <w:szCs w:val="22"/>
        </w:rPr>
        <w:t xml:space="preserve"> </w:t>
      </w:r>
      <w:r w:rsidR="00364B10" w:rsidRPr="002422E4">
        <w:rPr>
          <w:b/>
          <w:sz w:val="22"/>
          <w:szCs w:val="22"/>
        </w:rPr>
        <w:t xml:space="preserve">NICOLAE ROBU                                                      </w:t>
      </w:r>
    </w:p>
    <w:p w:rsidR="00026AF1" w:rsidRPr="002422E4" w:rsidRDefault="00026AF1" w:rsidP="00026AF1">
      <w:pPr>
        <w:pBdr>
          <w:bottom w:val="single" w:sz="6" w:space="1" w:color="auto"/>
        </w:pBdr>
        <w:rPr>
          <w:sz w:val="22"/>
          <w:szCs w:val="22"/>
        </w:rPr>
      </w:pPr>
      <w:r w:rsidRPr="002422E4">
        <w:rPr>
          <w:b/>
          <w:sz w:val="22"/>
          <w:szCs w:val="22"/>
        </w:rPr>
        <w:t>Nr. SC201</w:t>
      </w:r>
      <w:r w:rsidR="00364B10" w:rsidRPr="002422E4">
        <w:rPr>
          <w:b/>
          <w:sz w:val="22"/>
          <w:szCs w:val="22"/>
        </w:rPr>
        <w:t>7</w:t>
      </w:r>
      <w:r w:rsidRPr="002422E4">
        <w:rPr>
          <w:b/>
          <w:sz w:val="22"/>
          <w:szCs w:val="22"/>
        </w:rPr>
        <w:t>-</w:t>
      </w:r>
      <w:r w:rsidRPr="002422E4">
        <w:rPr>
          <w:sz w:val="22"/>
          <w:szCs w:val="22"/>
        </w:rPr>
        <w:t xml:space="preserve">             /</w:t>
      </w:r>
    </w:p>
    <w:p w:rsidR="00026AF1" w:rsidRPr="002422E4" w:rsidRDefault="00026AF1" w:rsidP="00026AF1">
      <w:pPr>
        <w:ind w:firstLine="720"/>
        <w:jc w:val="center"/>
        <w:rPr>
          <w:b/>
          <w:sz w:val="22"/>
          <w:szCs w:val="22"/>
        </w:rPr>
      </w:pPr>
    </w:p>
    <w:p w:rsidR="00026AF1" w:rsidRPr="002422E4" w:rsidRDefault="004430C4" w:rsidP="005F4DD8">
      <w:pPr>
        <w:ind w:left="3528" w:firstLine="720"/>
        <w:rPr>
          <w:b/>
          <w:sz w:val="22"/>
          <w:szCs w:val="22"/>
        </w:rPr>
      </w:pPr>
      <w:r>
        <w:rPr>
          <w:b/>
          <w:sz w:val="22"/>
          <w:szCs w:val="22"/>
        </w:rPr>
        <w:t xml:space="preserve">        </w:t>
      </w:r>
      <w:r w:rsidR="00026AF1" w:rsidRPr="002422E4">
        <w:rPr>
          <w:b/>
          <w:sz w:val="22"/>
          <w:szCs w:val="22"/>
        </w:rPr>
        <w:t>REFERAT</w:t>
      </w:r>
    </w:p>
    <w:p w:rsidR="0059036C" w:rsidRPr="002422E4" w:rsidRDefault="00026AF1" w:rsidP="00ED638A">
      <w:pPr>
        <w:jc w:val="center"/>
        <w:rPr>
          <w:b/>
          <w:sz w:val="22"/>
          <w:szCs w:val="22"/>
        </w:rPr>
      </w:pPr>
      <w:r w:rsidRPr="002422E4">
        <w:rPr>
          <w:b/>
          <w:sz w:val="22"/>
          <w:szCs w:val="22"/>
        </w:rPr>
        <w:t xml:space="preserve">privind instituirea taxei de reabilitare termică şi a mecanismului de recuperare a sumelor avansate de Consiliul Local al </w:t>
      </w:r>
      <w:r w:rsidR="0059036C" w:rsidRPr="002422E4">
        <w:rPr>
          <w:b/>
          <w:sz w:val="22"/>
          <w:szCs w:val="22"/>
        </w:rPr>
        <w:t>M</w:t>
      </w:r>
      <w:r w:rsidRPr="002422E4">
        <w:rPr>
          <w:b/>
          <w:sz w:val="22"/>
          <w:szCs w:val="22"/>
        </w:rPr>
        <w:t>unicipiului Timişoara</w:t>
      </w:r>
      <w:r w:rsidR="00ED638A" w:rsidRPr="002422E4">
        <w:rPr>
          <w:b/>
          <w:sz w:val="22"/>
          <w:szCs w:val="22"/>
        </w:rPr>
        <w:t xml:space="preserve">, pentru blocurile </w:t>
      </w:r>
      <w:r w:rsidR="0059036C" w:rsidRPr="002422E4">
        <w:rPr>
          <w:b/>
          <w:sz w:val="22"/>
          <w:szCs w:val="22"/>
        </w:rPr>
        <w:t xml:space="preserve">de locuinţe </w:t>
      </w:r>
      <w:r w:rsidR="00ED638A" w:rsidRPr="002422E4">
        <w:rPr>
          <w:b/>
          <w:sz w:val="22"/>
          <w:szCs w:val="22"/>
        </w:rPr>
        <w:t xml:space="preserve">finanţate </w:t>
      </w:r>
      <w:r w:rsidR="0059036C" w:rsidRPr="002422E4">
        <w:rPr>
          <w:b/>
          <w:sz w:val="22"/>
          <w:szCs w:val="22"/>
        </w:rPr>
        <w:t>prin</w:t>
      </w:r>
    </w:p>
    <w:p w:rsidR="00026AF1" w:rsidRPr="002422E4" w:rsidRDefault="0059036C" w:rsidP="00ED638A">
      <w:pPr>
        <w:jc w:val="center"/>
        <w:rPr>
          <w:b/>
          <w:sz w:val="22"/>
          <w:szCs w:val="22"/>
        </w:rPr>
      </w:pPr>
      <w:r w:rsidRPr="002422E4">
        <w:rPr>
          <w:b/>
          <w:sz w:val="22"/>
          <w:szCs w:val="22"/>
        </w:rPr>
        <w:t>Programul</w:t>
      </w:r>
      <w:r w:rsidR="00ED638A" w:rsidRPr="002422E4">
        <w:rPr>
          <w:b/>
          <w:sz w:val="22"/>
          <w:szCs w:val="22"/>
        </w:rPr>
        <w:t xml:space="preserve"> Operaţional Regional 20</w:t>
      </w:r>
      <w:r w:rsidR="00364B10" w:rsidRPr="002422E4">
        <w:rPr>
          <w:b/>
          <w:sz w:val="22"/>
          <w:szCs w:val="22"/>
        </w:rPr>
        <w:t>14</w:t>
      </w:r>
      <w:r w:rsidR="00ED638A" w:rsidRPr="002422E4">
        <w:rPr>
          <w:b/>
          <w:sz w:val="22"/>
          <w:szCs w:val="22"/>
        </w:rPr>
        <w:t>-20</w:t>
      </w:r>
      <w:r w:rsidR="00364B10" w:rsidRPr="002422E4">
        <w:rPr>
          <w:b/>
          <w:sz w:val="22"/>
          <w:szCs w:val="22"/>
        </w:rPr>
        <w:t>20</w:t>
      </w:r>
    </w:p>
    <w:p w:rsidR="006C6D73" w:rsidRPr="002422E4" w:rsidRDefault="006C6D73" w:rsidP="006C6D73">
      <w:pPr>
        <w:ind w:firstLine="708"/>
        <w:jc w:val="both"/>
        <w:rPr>
          <w:rStyle w:val="hps"/>
        </w:rPr>
      </w:pPr>
    </w:p>
    <w:p w:rsidR="00562443" w:rsidRPr="002422E4" w:rsidRDefault="00873E91" w:rsidP="00562443">
      <w:pPr>
        <w:tabs>
          <w:tab w:val="left" w:pos="851"/>
        </w:tabs>
        <w:jc w:val="both"/>
        <w:rPr>
          <w:sz w:val="22"/>
          <w:szCs w:val="22"/>
        </w:rPr>
      </w:pPr>
      <w:r w:rsidRPr="002422E4">
        <w:tab/>
      </w:r>
      <w:r w:rsidR="00562443" w:rsidRPr="002422E4">
        <w:rPr>
          <w:sz w:val="22"/>
          <w:szCs w:val="22"/>
        </w:rPr>
        <w:t>Măsurile de reabilitare termică a blocurilor sunt în concordanţă cu obligaţiile României privind Directiva 2006/32/CE a Parlmentului European şi a Consiliului  privind eficienţa energetică la utilizatorii finali precum şi a Directivei 2002/91/CE a Parlamentului European şi a Consiliului privind performanţa energetică a clădirilor.</w:t>
      </w:r>
    </w:p>
    <w:p w:rsidR="00562443" w:rsidRPr="002422E4" w:rsidRDefault="00562443" w:rsidP="00562443">
      <w:pPr>
        <w:tabs>
          <w:tab w:val="left" w:pos="851"/>
        </w:tabs>
        <w:jc w:val="both"/>
        <w:rPr>
          <w:sz w:val="22"/>
          <w:szCs w:val="22"/>
        </w:rPr>
      </w:pPr>
      <w:r w:rsidRPr="002422E4">
        <w:rPr>
          <w:sz w:val="22"/>
          <w:szCs w:val="22"/>
        </w:rPr>
        <w:t>Realizarea lucrărilor de intervenţie are drept scop creşterea performanţei energetice a blocurilor de locuinţe, respectiv reducerea consumurilor energetice pentru încălzirea apartamentelor, în condiţiile asigurării şi menţinerii climatului termic interior, precum şi ameliorarea aspectului urbanistic al localităţilor.</w:t>
      </w:r>
      <w:r w:rsidRPr="002422E4">
        <w:rPr>
          <w:bCs/>
          <w:sz w:val="22"/>
          <w:szCs w:val="22"/>
        </w:rPr>
        <w:t xml:space="preserve"> </w:t>
      </w:r>
      <w:r w:rsidRPr="002422E4">
        <w:rPr>
          <w:sz w:val="22"/>
          <w:szCs w:val="22"/>
        </w:rPr>
        <w:tab/>
      </w:r>
    </w:p>
    <w:p w:rsidR="00562443" w:rsidRPr="002422E4" w:rsidRDefault="00327DDA" w:rsidP="00562443">
      <w:pPr>
        <w:tabs>
          <w:tab w:val="left" w:pos="851"/>
        </w:tabs>
        <w:jc w:val="both"/>
        <w:rPr>
          <w:sz w:val="22"/>
          <w:szCs w:val="22"/>
        </w:rPr>
      </w:pPr>
      <w:r>
        <w:rPr>
          <w:sz w:val="22"/>
          <w:szCs w:val="22"/>
        </w:rPr>
        <w:tab/>
      </w:r>
      <w:r w:rsidR="00562443" w:rsidRPr="002422E4">
        <w:rPr>
          <w:sz w:val="22"/>
          <w:szCs w:val="22"/>
        </w:rPr>
        <w:t>Reducerea consumului de energie pentru încălzirea blocurilor de locuinţe are ca efecte reducerea costurilor de întreţinere cu încălzirea, diminuarea efectelor schimbărilor climatice, prin reducerea emisiilor de gaze cu efect de seră, creşterea independenţei energetice, prin reducerea consumului de combustibil utilizat la prepararea agentului termic pentru încălzire, precum şi ameliorarea aspectului urbanistic al localităţilor.</w:t>
      </w:r>
    </w:p>
    <w:p w:rsidR="00873E91" w:rsidRPr="002422E4" w:rsidRDefault="001A7858" w:rsidP="002422E4">
      <w:pPr>
        <w:pStyle w:val="Normal1"/>
        <w:spacing w:before="0" w:after="0"/>
        <w:rPr>
          <w:rFonts w:ascii="Times New Roman" w:hAnsi="Times New Roman"/>
          <w:bCs/>
          <w:sz w:val="22"/>
          <w:szCs w:val="22"/>
        </w:rPr>
      </w:pPr>
      <w:r w:rsidRPr="002422E4">
        <w:rPr>
          <w:sz w:val="24"/>
        </w:rPr>
        <w:tab/>
      </w:r>
      <w:r w:rsidR="00873E91" w:rsidRPr="002422E4">
        <w:rPr>
          <w:rFonts w:ascii="Times New Roman" w:hAnsi="Times New Roman"/>
          <w:bCs/>
          <w:sz w:val="22"/>
          <w:szCs w:val="22"/>
        </w:rPr>
        <w:t>Solicitantul are obligaţia de a asigura resursele financiare pentru acoperirea tuturor cheltuielilor aferente componentelor ce compun cererea de finanţare (cheltuieli eligibile şi neeligibile), în condiţiile rambursării a maxim 60% din cheltuielile eligibile din FEDR şi de la bugetul de stat, respectiv recuperării ulterioare a cotei-părţi ce revine fiecărei asociaţii de proprietari din valoarea componentei respective (cheltuieli eligibile şi neeligibile).</w:t>
      </w:r>
    </w:p>
    <w:p w:rsidR="00873E91" w:rsidRPr="002422E4" w:rsidRDefault="00873E91" w:rsidP="00873E91">
      <w:pPr>
        <w:jc w:val="both"/>
        <w:rPr>
          <w:sz w:val="22"/>
          <w:szCs w:val="22"/>
        </w:rPr>
      </w:pPr>
      <w:r w:rsidRPr="002422E4">
        <w:rPr>
          <w:sz w:val="22"/>
          <w:szCs w:val="22"/>
        </w:rPr>
        <w:t>Modalităţile privind recuperarea sumelor plătite de către Solicitant aferente contribuţiei asociaţiei de proprietari se vor stabili de comun acord între Solicitant şi asociaţia de proprietari, cu respectarea prevederilor legislaţiei în vigoare.</w:t>
      </w:r>
    </w:p>
    <w:p w:rsidR="00873E91" w:rsidRPr="002422E4" w:rsidRDefault="006C0FD2" w:rsidP="00873E91">
      <w:pPr>
        <w:jc w:val="both"/>
        <w:rPr>
          <w:bCs/>
          <w:sz w:val="22"/>
          <w:szCs w:val="22"/>
        </w:rPr>
      </w:pPr>
      <w:r>
        <w:rPr>
          <w:bCs/>
          <w:sz w:val="22"/>
          <w:szCs w:val="22"/>
        </w:rPr>
        <w:tab/>
      </w:r>
      <w:r w:rsidR="00873E91" w:rsidRPr="002422E4">
        <w:rPr>
          <w:bCs/>
          <w:sz w:val="22"/>
          <w:szCs w:val="22"/>
        </w:rPr>
        <w:t>Contribuţia Asociaţiei/lor de proprietari din bloc (cheltuieli eligibile şi neeligibile) este:</w:t>
      </w:r>
    </w:p>
    <w:p w:rsidR="00873E91" w:rsidRPr="002422E4" w:rsidRDefault="00873E91" w:rsidP="00873E91">
      <w:pPr>
        <w:jc w:val="both"/>
        <w:rPr>
          <w:bCs/>
          <w:sz w:val="22"/>
          <w:szCs w:val="22"/>
        </w:rPr>
      </w:pPr>
      <w:r w:rsidRPr="002422E4">
        <w:rPr>
          <w:b/>
          <w:bCs/>
          <w:sz w:val="22"/>
          <w:szCs w:val="22"/>
        </w:rPr>
        <w:t>I.</w:t>
      </w:r>
      <w:r w:rsidRPr="002422E4">
        <w:rPr>
          <w:bCs/>
          <w:sz w:val="22"/>
          <w:szCs w:val="22"/>
        </w:rPr>
        <w:t xml:space="preserve"> 100% din valoarea cheltuielilor aferente C+M+E (cheltuieli pentru construcții-montaj respectiv diverse și neprevăzute) </w:t>
      </w:r>
      <w:r w:rsidRPr="002422E4">
        <w:rPr>
          <w:sz w:val="22"/>
          <w:szCs w:val="22"/>
        </w:rPr>
        <w:t>corespunzătoare:</w:t>
      </w:r>
    </w:p>
    <w:p w:rsidR="00873E91" w:rsidRPr="002422E4" w:rsidRDefault="00873E91" w:rsidP="004430C4">
      <w:pPr>
        <w:numPr>
          <w:ilvl w:val="0"/>
          <w:numId w:val="3"/>
        </w:numPr>
        <w:ind w:left="1434" w:hanging="357"/>
        <w:jc w:val="both"/>
        <w:rPr>
          <w:bCs/>
          <w:sz w:val="22"/>
          <w:szCs w:val="22"/>
        </w:rPr>
      </w:pPr>
      <w:r w:rsidRPr="002422E4">
        <w:rPr>
          <w:bCs/>
          <w:sz w:val="22"/>
          <w:szCs w:val="22"/>
        </w:rPr>
        <w:t>apartamentelor cu destinaţie locuinţă (inclusiv apartamentelor declarate la ONRC ca sedii sociale de firmă, care nu desfăşoară activitate economică, cu destinaţie locuinţă) aflate în proprietatea persoanelor juridice, a Solicitantului sau a autorităţilor şi instituţiilor publice</w:t>
      </w:r>
      <w:r w:rsidR="00327DDA">
        <w:rPr>
          <w:bCs/>
          <w:sz w:val="22"/>
          <w:szCs w:val="22"/>
        </w:rPr>
        <w:t>;</w:t>
      </w:r>
    </w:p>
    <w:p w:rsidR="00873E91" w:rsidRPr="002422E4" w:rsidRDefault="00873E91" w:rsidP="004430C4">
      <w:pPr>
        <w:numPr>
          <w:ilvl w:val="0"/>
          <w:numId w:val="3"/>
        </w:numPr>
        <w:ind w:left="1434" w:hanging="357"/>
        <w:jc w:val="both"/>
        <w:rPr>
          <w:bCs/>
          <w:sz w:val="22"/>
          <w:szCs w:val="22"/>
        </w:rPr>
      </w:pPr>
      <w:r w:rsidRPr="002422E4">
        <w:rPr>
          <w:bCs/>
          <w:sz w:val="22"/>
          <w:szCs w:val="22"/>
        </w:rPr>
        <w:t>apartamentelor cu destinaţie de spaţii comerciale sau spaţii cu altă destinaţie decât cea de locuinţă, aflate în proprietatea persoanelor fizice, a persoanelor juridice, a Solicitantului sau a autorităţilor şi instituţiilor publice</w:t>
      </w:r>
      <w:r w:rsidR="00327DDA">
        <w:rPr>
          <w:bCs/>
          <w:sz w:val="22"/>
          <w:szCs w:val="22"/>
        </w:rPr>
        <w:t>;</w:t>
      </w:r>
    </w:p>
    <w:p w:rsidR="00873E91" w:rsidRPr="002422E4" w:rsidRDefault="00873E91" w:rsidP="00873E91">
      <w:pPr>
        <w:jc w:val="both"/>
        <w:rPr>
          <w:sz w:val="22"/>
          <w:szCs w:val="22"/>
        </w:rPr>
      </w:pPr>
      <w:r w:rsidRPr="002422E4">
        <w:rPr>
          <w:b/>
          <w:bCs/>
          <w:sz w:val="22"/>
          <w:szCs w:val="22"/>
        </w:rPr>
        <w:t>II.</w:t>
      </w:r>
      <w:r w:rsidRPr="002422E4">
        <w:rPr>
          <w:bCs/>
          <w:sz w:val="22"/>
          <w:szCs w:val="22"/>
        </w:rPr>
        <w:t xml:space="preserve"> 25% din valoarea cheltuielilor aferente C+M+E (cheltuieli eligibile) şi 25% din valoarea cheltuielilor aferente C+M+E (cheltuieli neeligibile) </w:t>
      </w:r>
      <w:r w:rsidRPr="002422E4">
        <w:rPr>
          <w:sz w:val="22"/>
          <w:szCs w:val="22"/>
        </w:rPr>
        <w:t>corespunzătoare</w:t>
      </w:r>
    </w:p>
    <w:p w:rsidR="00900842" w:rsidRPr="002422E4" w:rsidRDefault="00873E91" w:rsidP="006C0FD2">
      <w:pPr>
        <w:numPr>
          <w:ilvl w:val="0"/>
          <w:numId w:val="3"/>
        </w:numPr>
        <w:jc w:val="both"/>
        <w:rPr>
          <w:bCs/>
          <w:iCs/>
          <w:sz w:val="22"/>
          <w:szCs w:val="22"/>
        </w:rPr>
      </w:pPr>
      <w:r w:rsidRPr="002422E4">
        <w:rPr>
          <w:bCs/>
          <w:sz w:val="22"/>
          <w:szCs w:val="22"/>
        </w:rPr>
        <w:t xml:space="preserve">apartamentelor cu </w:t>
      </w:r>
      <w:r w:rsidRPr="002422E4">
        <w:rPr>
          <w:bCs/>
          <w:iCs/>
          <w:sz w:val="22"/>
          <w:szCs w:val="22"/>
        </w:rPr>
        <w:t>destinaţie locuinţă (inclusiv apartamentelor declarate la ONRC ca sedii sociale de firmă, care nu desfăşoară activitate ec</w:t>
      </w:r>
      <w:r w:rsidR="00327DDA">
        <w:rPr>
          <w:bCs/>
          <w:iCs/>
          <w:sz w:val="22"/>
          <w:szCs w:val="22"/>
        </w:rPr>
        <w:t>onomică, cu destinaţie locuință</w:t>
      </w:r>
      <w:r w:rsidRPr="002422E4">
        <w:rPr>
          <w:bCs/>
          <w:iCs/>
          <w:sz w:val="22"/>
          <w:szCs w:val="22"/>
        </w:rPr>
        <w:t>), aflate în proprietatea persoanelor fizice.</w:t>
      </w:r>
    </w:p>
    <w:p w:rsidR="00900842" w:rsidRPr="002422E4" w:rsidRDefault="00327DDA" w:rsidP="006C0FD2">
      <w:pPr>
        <w:autoSpaceDE w:val="0"/>
        <w:autoSpaceDN w:val="0"/>
        <w:adjustRightInd w:val="0"/>
        <w:jc w:val="both"/>
        <w:rPr>
          <w:rFonts w:eastAsiaTheme="minorHAnsi"/>
          <w:sz w:val="22"/>
          <w:szCs w:val="22"/>
          <w:lang w:eastAsia="en-US"/>
        </w:rPr>
      </w:pPr>
      <w:r>
        <w:rPr>
          <w:rFonts w:eastAsiaTheme="minorHAnsi"/>
          <w:sz w:val="22"/>
          <w:szCs w:val="22"/>
          <w:lang w:eastAsia="en-US"/>
        </w:rPr>
        <w:tab/>
      </w:r>
      <w:r w:rsidR="00900842" w:rsidRPr="002422E4">
        <w:rPr>
          <w:rFonts w:eastAsiaTheme="minorHAnsi"/>
          <w:sz w:val="22"/>
          <w:szCs w:val="22"/>
          <w:lang w:eastAsia="en-US"/>
        </w:rPr>
        <w:t>Autorităţile administraţiei publice locale pot asigura, la cererea de finanţare depusă de către asociaţiile de proprietari, în baza Hotărârii Consiliului Local, după caz, şi în limita fondurilor aprobate anual cu această destinaţie, finanţarea cheltuielilor aferente cotei de contribuţie ce revine proprietarilor/asociaţiei de proprietari, pentru cheltuielile aferente executării lucrărilor de intervenţie, conform prevederilor art.14 din O.U.G. nr. 18/2009 privind creşterea performanţei energetice a blocurilor de locuinţe, actualizată.</w:t>
      </w:r>
    </w:p>
    <w:p w:rsidR="007A2BA0" w:rsidRPr="002422E4" w:rsidRDefault="00327DDA" w:rsidP="007A2BA0">
      <w:pPr>
        <w:autoSpaceDE w:val="0"/>
        <w:autoSpaceDN w:val="0"/>
        <w:adjustRightInd w:val="0"/>
        <w:jc w:val="both"/>
        <w:rPr>
          <w:rFonts w:eastAsiaTheme="minorHAnsi"/>
          <w:sz w:val="22"/>
          <w:szCs w:val="22"/>
          <w:lang w:eastAsia="en-US"/>
        </w:rPr>
      </w:pPr>
      <w:r>
        <w:rPr>
          <w:rFonts w:eastAsiaTheme="minorHAnsi"/>
          <w:sz w:val="22"/>
          <w:szCs w:val="22"/>
          <w:lang w:eastAsia="en-US"/>
        </w:rPr>
        <w:tab/>
      </w:r>
      <w:r w:rsidR="00900842" w:rsidRPr="002422E4">
        <w:rPr>
          <w:rFonts w:eastAsiaTheme="minorHAnsi"/>
          <w:sz w:val="22"/>
          <w:szCs w:val="22"/>
          <w:lang w:eastAsia="en-US"/>
        </w:rPr>
        <w:t>Sumele avansate de către autorităţile administraţiei publice locale pentru asigurarea cotei de contribuţie proprie a proprietarilor/asociaţiilor de proprietari se recuperează din fondul de reparaţii constituit în acest sens, în condiţiile art. 13 alin. (2)</w:t>
      </w:r>
      <w:r w:rsidR="007A2BA0" w:rsidRPr="002422E4">
        <w:rPr>
          <w:rFonts w:eastAsiaTheme="minorHAnsi"/>
          <w:sz w:val="22"/>
          <w:szCs w:val="22"/>
          <w:lang w:eastAsia="en-US"/>
        </w:rPr>
        <w:t xml:space="preserve"> din O.U.G. nr. 18/2009</w:t>
      </w:r>
      <w:r w:rsidR="00900842" w:rsidRPr="002422E4">
        <w:rPr>
          <w:rFonts w:eastAsiaTheme="minorHAnsi"/>
          <w:sz w:val="22"/>
          <w:szCs w:val="22"/>
          <w:lang w:eastAsia="en-US"/>
        </w:rPr>
        <w:t>.</w:t>
      </w:r>
    </w:p>
    <w:p w:rsidR="00900842" w:rsidRPr="006C0FD2" w:rsidRDefault="00900842" w:rsidP="007A2BA0">
      <w:pPr>
        <w:autoSpaceDE w:val="0"/>
        <w:autoSpaceDN w:val="0"/>
        <w:adjustRightInd w:val="0"/>
        <w:jc w:val="both"/>
        <w:rPr>
          <w:rFonts w:eastAsiaTheme="minorHAnsi"/>
          <w:sz w:val="22"/>
          <w:szCs w:val="22"/>
          <w:lang w:eastAsia="en-US"/>
        </w:rPr>
      </w:pPr>
      <w:r w:rsidRPr="002422E4">
        <w:rPr>
          <w:rFonts w:eastAsiaTheme="minorHAnsi"/>
          <w:sz w:val="22"/>
          <w:szCs w:val="22"/>
          <w:lang w:eastAsia="en-US"/>
        </w:rPr>
        <w:t xml:space="preserve">În cazul în care aceste sume nu au fost integral recuperate din fondul de reparaţii până la recepţia la terminarea </w:t>
      </w:r>
      <w:r w:rsidRPr="006C0FD2">
        <w:rPr>
          <w:rFonts w:eastAsiaTheme="minorHAnsi"/>
          <w:sz w:val="22"/>
          <w:szCs w:val="22"/>
          <w:lang w:eastAsia="en-US"/>
        </w:rPr>
        <w:t xml:space="preserve">lucrărilor, recuperarea sumelor rămase se realizează prin </w:t>
      </w:r>
      <w:r w:rsidRPr="006C0FD2">
        <w:rPr>
          <w:rFonts w:eastAsiaTheme="minorHAnsi"/>
          <w:sz w:val="22"/>
          <w:szCs w:val="22"/>
          <w:u w:val="single"/>
          <w:lang w:eastAsia="en-US"/>
        </w:rPr>
        <w:t>taxa de reabilitare termică</w:t>
      </w:r>
      <w:r w:rsidRPr="006C0FD2">
        <w:rPr>
          <w:rFonts w:eastAsiaTheme="minorHAnsi"/>
          <w:sz w:val="22"/>
          <w:szCs w:val="22"/>
          <w:lang w:eastAsia="en-US"/>
        </w:rPr>
        <w:t xml:space="preserve">, stabilită prin </w:t>
      </w:r>
      <w:r w:rsidR="007A2BA0" w:rsidRPr="006C0FD2">
        <w:rPr>
          <w:rFonts w:eastAsiaTheme="minorHAnsi"/>
          <w:sz w:val="22"/>
          <w:szCs w:val="22"/>
          <w:lang w:eastAsia="en-US"/>
        </w:rPr>
        <w:t>Hotărâre a Consiliului Local.</w:t>
      </w:r>
    </w:p>
    <w:p w:rsidR="00900842" w:rsidRPr="006C0FD2" w:rsidRDefault="007A2BA0" w:rsidP="00DD49F6">
      <w:pPr>
        <w:autoSpaceDE w:val="0"/>
        <w:autoSpaceDN w:val="0"/>
        <w:adjustRightInd w:val="0"/>
        <w:jc w:val="both"/>
        <w:rPr>
          <w:rFonts w:eastAsiaTheme="minorHAnsi"/>
          <w:sz w:val="22"/>
          <w:szCs w:val="22"/>
          <w:lang w:eastAsia="en-US"/>
        </w:rPr>
      </w:pPr>
      <w:r w:rsidRPr="006C0FD2">
        <w:rPr>
          <w:rFonts w:eastAsiaTheme="minorHAnsi"/>
          <w:sz w:val="22"/>
          <w:szCs w:val="22"/>
          <w:lang w:eastAsia="en-US"/>
        </w:rPr>
        <w:tab/>
        <w:t>Având în vedere cele prezentate mai sus propunem următoarele:</w:t>
      </w:r>
    </w:p>
    <w:p w:rsidR="007A2BA0" w:rsidRPr="006C0FD2" w:rsidRDefault="007A2BA0" w:rsidP="00DD49F6">
      <w:pPr>
        <w:autoSpaceDE w:val="0"/>
        <w:autoSpaceDN w:val="0"/>
        <w:adjustRightInd w:val="0"/>
        <w:jc w:val="both"/>
        <w:rPr>
          <w:rFonts w:eastAsiaTheme="minorHAnsi"/>
          <w:sz w:val="22"/>
          <w:szCs w:val="22"/>
          <w:lang w:eastAsia="en-US"/>
        </w:rPr>
      </w:pPr>
    </w:p>
    <w:p w:rsidR="007A2BA0" w:rsidRPr="002422E4" w:rsidRDefault="007A2BA0" w:rsidP="00DD49F6">
      <w:pPr>
        <w:autoSpaceDE w:val="0"/>
        <w:autoSpaceDN w:val="0"/>
        <w:adjustRightInd w:val="0"/>
        <w:jc w:val="both"/>
        <w:rPr>
          <w:rFonts w:eastAsiaTheme="minorHAnsi"/>
          <w:sz w:val="22"/>
          <w:szCs w:val="22"/>
          <w:lang w:eastAsia="en-US"/>
        </w:rPr>
      </w:pPr>
      <w:r w:rsidRPr="002422E4">
        <w:rPr>
          <w:rFonts w:eastAsiaTheme="minorHAnsi"/>
          <w:color w:val="000000"/>
          <w:sz w:val="22"/>
          <w:szCs w:val="22"/>
          <w:lang w:eastAsia="en-US"/>
        </w:rPr>
        <w:t xml:space="preserve">1) Instituirea </w:t>
      </w:r>
      <w:r w:rsidRPr="002422E4">
        <w:rPr>
          <w:rFonts w:eastAsiaTheme="minorHAnsi"/>
          <w:b/>
          <w:bCs/>
          <w:color w:val="000000"/>
          <w:sz w:val="22"/>
          <w:szCs w:val="22"/>
          <w:lang w:eastAsia="en-US"/>
        </w:rPr>
        <w:t>Taxei de reabilitare termică</w:t>
      </w:r>
      <w:r w:rsidRPr="002422E4">
        <w:rPr>
          <w:rFonts w:eastAsiaTheme="minorHAnsi"/>
          <w:color w:val="000000"/>
          <w:sz w:val="22"/>
          <w:szCs w:val="22"/>
          <w:lang w:eastAsia="en-US"/>
        </w:rPr>
        <w:t xml:space="preserve">, pentru imobilele finanţate în cadrul </w:t>
      </w:r>
      <w:r w:rsidRPr="002422E4">
        <w:rPr>
          <w:rFonts w:eastAsiaTheme="minorHAnsi"/>
          <w:i/>
          <w:iCs/>
          <w:color w:val="000000"/>
          <w:sz w:val="22"/>
          <w:szCs w:val="22"/>
          <w:lang w:eastAsia="en-US"/>
        </w:rPr>
        <w:t>Programului Operaţional Regional 2014-2020,</w:t>
      </w:r>
      <w:r w:rsidRPr="002422E4">
        <w:rPr>
          <w:rFonts w:eastAsiaTheme="minorHAnsi"/>
          <w:color w:val="000000"/>
          <w:sz w:val="22"/>
          <w:szCs w:val="22"/>
          <w:lang w:eastAsia="en-US"/>
        </w:rPr>
        <w:t xml:space="preserve"> </w:t>
      </w:r>
      <w:r w:rsidRPr="002422E4">
        <w:rPr>
          <w:rFonts w:eastAsiaTheme="minorHAnsi"/>
          <w:i/>
          <w:iCs/>
          <w:color w:val="000000"/>
          <w:sz w:val="22"/>
          <w:szCs w:val="22"/>
          <w:lang w:eastAsia="en-US"/>
        </w:rPr>
        <w:t>Axa  prioritară 3: „Sprijinirea tranziţiei către o economie cu emisii scăzute de carbon, Prioritatea de investiţii 3.1, Operaţiunea A-Clădiri rezidenţiale”, denumita in continuare “taxă”</w:t>
      </w:r>
      <w:r w:rsidRPr="002422E4">
        <w:rPr>
          <w:rFonts w:eastAsiaTheme="minorHAnsi"/>
          <w:b/>
          <w:bCs/>
          <w:i/>
          <w:iCs/>
          <w:color w:val="000000"/>
          <w:sz w:val="22"/>
          <w:szCs w:val="22"/>
          <w:lang w:eastAsia="en-US"/>
        </w:rPr>
        <w:t>.</w:t>
      </w:r>
    </w:p>
    <w:p w:rsidR="00900842" w:rsidRPr="002422E4" w:rsidRDefault="007A2BA0" w:rsidP="00DD49F6">
      <w:pPr>
        <w:autoSpaceDE w:val="0"/>
        <w:autoSpaceDN w:val="0"/>
        <w:adjustRightInd w:val="0"/>
        <w:jc w:val="both"/>
        <w:rPr>
          <w:rFonts w:eastAsiaTheme="minorHAnsi"/>
          <w:color w:val="000000"/>
          <w:sz w:val="22"/>
          <w:szCs w:val="22"/>
          <w:lang w:eastAsia="en-US"/>
        </w:rPr>
      </w:pPr>
      <w:r w:rsidRPr="002422E4">
        <w:rPr>
          <w:rFonts w:eastAsiaTheme="minorHAnsi"/>
          <w:color w:val="000000"/>
          <w:sz w:val="22"/>
          <w:szCs w:val="22"/>
          <w:lang w:eastAsia="en-US"/>
        </w:rPr>
        <w:t>2)</w:t>
      </w:r>
      <w:r w:rsidR="00900842" w:rsidRPr="002422E4">
        <w:rPr>
          <w:rFonts w:eastAsiaTheme="minorHAnsi"/>
          <w:color w:val="000000"/>
          <w:sz w:val="22"/>
          <w:szCs w:val="22"/>
          <w:lang w:eastAsia="en-US"/>
        </w:rPr>
        <w:t>Sumele avansate de către autorităţile administraţiei publice locale pentru finanţarea cotelor-părţi indivize aferente părţilor comune ale imobilelor  se vor recupera de la beneficiari  prin intermediul taxei, in termen de  maxim 10 ani de la data receptiei la terminarea lucrarilor, eșalonarea sumei de recuperat cu titlu de taxă, ce fac obiectul deciziei de impunere, se va face pe o perioadă de 5 ani, începând cu data de întâi ianuarie a anului fiscal următor celui în care se emite decizia de impunere.</w:t>
      </w:r>
    </w:p>
    <w:p w:rsidR="007A2BA0" w:rsidRPr="002422E4" w:rsidRDefault="007A2BA0" w:rsidP="007A2BA0">
      <w:pPr>
        <w:autoSpaceDE w:val="0"/>
        <w:autoSpaceDN w:val="0"/>
        <w:adjustRightInd w:val="0"/>
        <w:jc w:val="both"/>
        <w:rPr>
          <w:rFonts w:eastAsiaTheme="minorHAnsi"/>
          <w:color w:val="000000"/>
          <w:sz w:val="22"/>
          <w:szCs w:val="22"/>
          <w:lang w:eastAsia="en-US"/>
        </w:rPr>
      </w:pPr>
      <w:r w:rsidRPr="002422E4">
        <w:rPr>
          <w:rFonts w:eastAsiaTheme="minorHAnsi"/>
          <w:bCs/>
          <w:color w:val="000000"/>
          <w:sz w:val="22"/>
          <w:szCs w:val="22"/>
          <w:lang w:eastAsia="en-US"/>
        </w:rPr>
        <w:lastRenderedPageBreak/>
        <w:t>3)</w:t>
      </w:r>
      <w:r w:rsidRPr="002422E4">
        <w:rPr>
          <w:rFonts w:eastAsiaTheme="minorHAnsi"/>
          <w:color w:val="000000"/>
          <w:sz w:val="22"/>
          <w:szCs w:val="22"/>
          <w:lang w:eastAsia="en-US"/>
        </w:rPr>
        <w:t xml:space="preserve"> Taxa se achită anual in 2 rate egale, până la datele de 31 martie și 30 septembrie, ale fiecărui an fiscal.</w:t>
      </w:r>
    </w:p>
    <w:p w:rsidR="007A2BA0" w:rsidRPr="002422E4" w:rsidRDefault="007A2BA0" w:rsidP="007A2BA0">
      <w:pPr>
        <w:autoSpaceDE w:val="0"/>
        <w:autoSpaceDN w:val="0"/>
        <w:adjustRightInd w:val="0"/>
        <w:jc w:val="both"/>
        <w:rPr>
          <w:rFonts w:eastAsiaTheme="minorHAnsi"/>
          <w:color w:val="000000"/>
          <w:sz w:val="22"/>
          <w:szCs w:val="22"/>
          <w:lang w:eastAsia="en-US"/>
        </w:rPr>
      </w:pPr>
      <w:r w:rsidRPr="002422E4">
        <w:rPr>
          <w:rFonts w:eastAsiaTheme="minorHAnsi"/>
          <w:bCs/>
          <w:color w:val="000000"/>
          <w:sz w:val="22"/>
          <w:szCs w:val="22"/>
          <w:lang w:eastAsia="en-US"/>
        </w:rPr>
        <w:t>4)</w:t>
      </w:r>
      <w:r w:rsidRPr="002422E4">
        <w:rPr>
          <w:rFonts w:eastAsiaTheme="minorHAnsi"/>
          <w:color w:val="000000"/>
          <w:sz w:val="22"/>
          <w:szCs w:val="22"/>
          <w:lang w:eastAsia="en-US"/>
        </w:rPr>
        <w:t xml:space="preserve"> Decizia de impunere prin care se stabilește taxa, devine executorie în condițiile legii, la expirarea fiecărui termen de plată prevăzut în cuprinsul acesteia. </w:t>
      </w:r>
    </w:p>
    <w:p w:rsidR="007A2BA0" w:rsidRPr="002422E4" w:rsidRDefault="007A2BA0" w:rsidP="007A2BA0">
      <w:pPr>
        <w:autoSpaceDE w:val="0"/>
        <w:autoSpaceDN w:val="0"/>
        <w:adjustRightInd w:val="0"/>
        <w:jc w:val="both"/>
        <w:rPr>
          <w:rFonts w:eastAsiaTheme="minorHAnsi"/>
          <w:color w:val="000000"/>
          <w:sz w:val="22"/>
          <w:szCs w:val="22"/>
          <w:lang w:eastAsia="en-US"/>
        </w:rPr>
      </w:pPr>
      <w:r w:rsidRPr="002422E4">
        <w:rPr>
          <w:rFonts w:eastAsiaTheme="minorHAnsi"/>
          <w:bCs/>
          <w:color w:val="000000"/>
          <w:sz w:val="22"/>
          <w:szCs w:val="22"/>
          <w:lang w:eastAsia="en-US"/>
        </w:rPr>
        <w:t xml:space="preserve">5) </w:t>
      </w:r>
      <w:r w:rsidRPr="002422E4">
        <w:rPr>
          <w:rFonts w:eastAsiaTheme="minorHAnsi"/>
          <w:color w:val="000000"/>
          <w:sz w:val="22"/>
          <w:szCs w:val="22"/>
          <w:lang w:eastAsia="en-US"/>
        </w:rPr>
        <w:t>Taxa se urmărește și se execută în condițiile Legii nr. 207/2015 privind Codul de procedură fiscală.</w:t>
      </w:r>
    </w:p>
    <w:p w:rsidR="002422E4" w:rsidRPr="002422E4" w:rsidRDefault="002422E4" w:rsidP="002422E4">
      <w:pPr>
        <w:autoSpaceDE w:val="0"/>
        <w:autoSpaceDN w:val="0"/>
        <w:adjustRightInd w:val="0"/>
        <w:rPr>
          <w:rFonts w:eastAsiaTheme="minorHAnsi"/>
          <w:color w:val="000000"/>
          <w:sz w:val="22"/>
          <w:szCs w:val="22"/>
          <w:lang w:eastAsia="en-US"/>
        </w:rPr>
      </w:pPr>
      <w:r w:rsidRPr="002422E4">
        <w:rPr>
          <w:rFonts w:eastAsiaTheme="minorHAnsi"/>
          <w:color w:val="000000"/>
          <w:sz w:val="22"/>
          <w:szCs w:val="22"/>
          <w:lang w:eastAsia="en-US"/>
        </w:rPr>
        <w:t xml:space="preserve">6) Cuantumul taxei va fi fundamentat printr-un referat întocmit de către compartimentul de specialitate din cadrul </w:t>
      </w:r>
      <w:r>
        <w:rPr>
          <w:rFonts w:eastAsiaTheme="minorHAnsi"/>
          <w:color w:val="000000"/>
          <w:sz w:val="22"/>
          <w:szCs w:val="22"/>
          <w:lang w:eastAsia="en-US"/>
        </w:rPr>
        <w:t xml:space="preserve"> </w:t>
      </w:r>
      <w:r w:rsidRPr="002422E4">
        <w:rPr>
          <w:rFonts w:eastAsiaTheme="minorHAnsi"/>
          <w:color w:val="000000"/>
          <w:sz w:val="22"/>
          <w:szCs w:val="22"/>
          <w:lang w:eastAsia="en-US"/>
        </w:rPr>
        <w:t xml:space="preserve">aparatului propriu al Primarului, cu atribuții </w:t>
      </w:r>
      <w:r>
        <w:rPr>
          <w:rFonts w:eastAsiaTheme="minorHAnsi"/>
          <w:color w:val="000000"/>
          <w:sz w:val="22"/>
          <w:szCs w:val="22"/>
          <w:lang w:eastAsia="en-US"/>
        </w:rPr>
        <w:t>î</w:t>
      </w:r>
      <w:r w:rsidRPr="002422E4">
        <w:rPr>
          <w:rFonts w:eastAsiaTheme="minorHAnsi"/>
          <w:color w:val="000000"/>
          <w:sz w:val="22"/>
          <w:szCs w:val="22"/>
          <w:lang w:eastAsia="en-US"/>
        </w:rPr>
        <w:t xml:space="preserve">n implementarea programului, în funcție de:  </w:t>
      </w:r>
    </w:p>
    <w:p w:rsidR="002422E4" w:rsidRPr="002422E4" w:rsidRDefault="002422E4" w:rsidP="002422E4">
      <w:pPr>
        <w:pStyle w:val="ListParagraph"/>
        <w:numPr>
          <w:ilvl w:val="0"/>
          <w:numId w:val="6"/>
        </w:numPr>
        <w:autoSpaceDE w:val="0"/>
        <w:autoSpaceDN w:val="0"/>
        <w:adjustRightInd w:val="0"/>
        <w:rPr>
          <w:rFonts w:eastAsiaTheme="minorHAnsi"/>
          <w:color w:val="000000"/>
          <w:sz w:val="22"/>
          <w:szCs w:val="22"/>
          <w:lang w:eastAsia="en-US"/>
        </w:rPr>
      </w:pPr>
      <w:r w:rsidRPr="002422E4">
        <w:rPr>
          <w:rFonts w:eastAsiaTheme="minorHAnsi"/>
          <w:color w:val="000000"/>
          <w:sz w:val="22"/>
          <w:szCs w:val="22"/>
          <w:lang w:eastAsia="en-US"/>
        </w:rPr>
        <w:t>sumele avansate de către autorităţile locale pentru asigurarea cotei de contribuţie aferente proprietarilor;</w:t>
      </w:r>
    </w:p>
    <w:p w:rsidR="002422E4" w:rsidRPr="002422E4" w:rsidRDefault="002422E4" w:rsidP="002422E4">
      <w:pPr>
        <w:pStyle w:val="ListParagraph"/>
        <w:numPr>
          <w:ilvl w:val="0"/>
          <w:numId w:val="6"/>
        </w:numPr>
        <w:autoSpaceDE w:val="0"/>
        <w:autoSpaceDN w:val="0"/>
        <w:adjustRightInd w:val="0"/>
        <w:rPr>
          <w:rFonts w:eastAsiaTheme="minorHAnsi"/>
          <w:color w:val="000000"/>
          <w:sz w:val="22"/>
          <w:szCs w:val="22"/>
          <w:lang w:eastAsia="en-US"/>
        </w:rPr>
      </w:pPr>
      <w:r w:rsidRPr="002422E4">
        <w:rPr>
          <w:rFonts w:eastAsiaTheme="minorHAnsi"/>
          <w:color w:val="000000"/>
          <w:sz w:val="22"/>
          <w:szCs w:val="22"/>
          <w:lang w:eastAsia="en-US"/>
        </w:rPr>
        <w:t>cotele-părţii indivize din proprietatea comună aferentă fiecărei proprietăţi individuale;</w:t>
      </w:r>
    </w:p>
    <w:p w:rsidR="002422E4" w:rsidRPr="002422E4" w:rsidRDefault="002422E4" w:rsidP="002422E4">
      <w:pPr>
        <w:pStyle w:val="ListParagraph"/>
        <w:numPr>
          <w:ilvl w:val="0"/>
          <w:numId w:val="6"/>
        </w:numPr>
        <w:autoSpaceDE w:val="0"/>
        <w:autoSpaceDN w:val="0"/>
        <w:adjustRightInd w:val="0"/>
        <w:rPr>
          <w:rFonts w:eastAsiaTheme="minorHAnsi"/>
          <w:color w:val="000000"/>
          <w:sz w:val="22"/>
          <w:szCs w:val="22"/>
          <w:lang w:eastAsia="en-US"/>
        </w:rPr>
      </w:pPr>
      <w:r w:rsidRPr="002422E4">
        <w:rPr>
          <w:rFonts w:eastAsiaTheme="minorHAnsi"/>
          <w:color w:val="000000"/>
          <w:sz w:val="22"/>
          <w:szCs w:val="22"/>
          <w:lang w:eastAsia="en-US"/>
        </w:rPr>
        <w:t>dup</w:t>
      </w:r>
      <w:r w:rsidR="00327DDA">
        <w:rPr>
          <w:rFonts w:eastAsiaTheme="minorHAnsi"/>
          <w:color w:val="000000"/>
          <w:sz w:val="22"/>
          <w:szCs w:val="22"/>
          <w:lang w:eastAsia="en-US"/>
        </w:rPr>
        <w:t>ă</w:t>
      </w:r>
      <w:r w:rsidRPr="002422E4">
        <w:rPr>
          <w:rFonts w:eastAsiaTheme="minorHAnsi"/>
          <w:color w:val="000000"/>
          <w:sz w:val="22"/>
          <w:szCs w:val="22"/>
          <w:lang w:eastAsia="en-US"/>
        </w:rPr>
        <w:t xml:space="preserve"> caz</w:t>
      </w:r>
      <w:r w:rsidR="00327DDA">
        <w:rPr>
          <w:rFonts w:eastAsiaTheme="minorHAnsi"/>
          <w:color w:val="000000"/>
          <w:sz w:val="22"/>
          <w:szCs w:val="22"/>
          <w:lang w:eastAsia="en-US"/>
        </w:rPr>
        <w:t xml:space="preserve"> și î</w:t>
      </w:r>
      <w:r w:rsidRPr="002422E4">
        <w:rPr>
          <w:rFonts w:eastAsiaTheme="minorHAnsi"/>
          <w:color w:val="000000"/>
          <w:sz w:val="22"/>
          <w:szCs w:val="22"/>
          <w:lang w:eastAsia="en-US"/>
        </w:rPr>
        <w:t xml:space="preserve">n  baza documentelor </w:t>
      </w:r>
      <w:r w:rsidR="00327DDA">
        <w:rPr>
          <w:rFonts w:eastAsiaTheme="minorHAnsi"/>
          <w:color w:val="000000"/>
          <w:sz w:val="22"/>
          <w:szCs w:val="22"/>
          <w:lang w:eastAsia="en-US"/>
        </w:rPr>
        <w:t>ș</w:t>
      </w:r>
      <w:r w:rsidRPr="002422E4">
        <w:rPr>
          <w:rFonts w:eastAsiaTheme="minorHAnsi"/>
          <w:color w:val="000000"/>
          <w:sz w:val="22"/>
          <w:szCs w:val="22"/>
          <w:lang w:eastAsia="en-US"/>
        </w:rPr>
        <w:t xml:space="preserve">i a constatărilor proprii ale acestui compartiment. </w:t>
      </w:r>
    </w:p>
    <w:p w:rsidR="002422E4" w:rsidRPr="002422E4" w:rsidRDefault="002422E4" w:rsidP="002422E4">
      <w:pPr>
        <w:autoSpaceDE w:val="0"/>
        <w:autoSpaceDN w:val="0"/>
        <w:adjustRightInd w:val="0"/>
        <w:ind w:left="142" w:hanging="142"/>
        <w:rPr>
          <w:rFonts w:eastAsiaTheme="minorHAnsi"/>
          <w:color w:val="000000"/>
          <w:sz w:val="22"/>
          <w:szCs w:val="22"/>
          <w:lang w:eastAsia="en-US"/>
        </w:rPr>
      </w:pPr>
      <w:r w:rsidRPr="002422E4">
        <w:rPr>
          <w:rFonts w:eastAsiaTheme="minorHAnsi"/>
          <w:b/>
          <w:bCs/>
          <w:color w:val="000000"/>
          <w:sz w:val="22"/>
          <w:szCs w:val="22"/>
          <w:lang w:eastAsia="en-US"/>
        </w:rPr>
        <w:t xml:space="preserve">  </w:t>
      </w:r>
      <w:r w:rsidRPr="00327DDA">
        <w:rPr>
          <w:rFonts w:eastAsiaTheme="minorHAnsi"/>
          <w:bCs/>
          <w:color w:val="000000"/>
          <w:sz w:val="22"/>
          <w:szCs w:val="22"/>
          <w:lang w:eastAsia="en-US"/>
        </w:rPr>
        <w:t>7)</w:t>
      </w:r>
      <w:r w:rsidRPr="002422E4">
        <w:rPr>
          <w:rFonts w:eastAsiaTheme="minorHAnsi"/>
          <w:b/>
          <w:bCs/>
          <w:color w:val="000000"/>
          <w:sz w:val="22"/>
          <w:szCs w:val="22"/>
          <w:lang w:eastAsia="en-US"/>
        </w:rPr>
        <w:t xml:space="preserve"> </w:t>
      </w:r>
      <w:r w:rsidRPr="002422E4">
        <w:rPr>
          <w:rFonts w:eastAsiaTheme="minorHAnsi"/>
          <w:color w:val="000000"/>
          <w:sz w:val="22"/>
          <w:szCs w:val="22"/>
          <w:lang w:eastAsia="en-US"/>
        </w:rPr>
        <w:t>Dacă imobilul, proprietate individual</w:t>
      </w:r>
      <w:r w:rsidR="00BE2ECD">
        <w:rPr>
          <w:rFonts w:eastAsiaTheme="minorHAnsi"/>
          <w:color w:val="000000"/>
          <w:sz w:val="22"/>
          <w:szCs w:val="22"/>
          <w:lang w:eastAsia="en-US"/>
        </w:rPr>
        <w:t>ă</w:t>
      </w:r>
      <w:r w:rsidRPr="002422E4">
        <w:rPr>
          <w:rFonts w:eastAsiaTheme="minorHAnsi"/>
          <w:color w:val="000000"/>
          <w:sz w:val="22"/>
          <w:szCs w:val="22"/>
          <w:lang w:eastAsia="en-US"/>
        </w:rPr>
        <w:t xml:space="preserve">, finanțat prin </w:t>
      </w:r>
      <w:r w:rsidR="00BE2ECD">
        <w:rPr>
          <w:rFonts w:eastAsiaTheme="minorHAnsi"/>
          <w:color w:val="000000"/>
          <w:sz w:val="22"/>
          <w:szCs w:val="22"/>
          <w:lang w:eastAsia="en-US"/>
        </w:rPr>
        <w:t>POR 2014-2020</w:t>
      </w:r>
      <w:r w:rsidRPr="002422E4">
        <w:rPr>
          <w:rFonts w:eastAsiaTheme="minorHAnsi"/>
          <w:color w:val="000000"/>
          <w:sz w:val="22"/>
          <w:szCs w:val="22"/>
          <w:lang w:eastAsia="en-US"/>
        </w:rPr>
        <w:t xml:space="preserve"> se află în proprietatea comună a </w:t>
      </w:r>
      <w:r>
        <w:rPr>
          <w:rFonts w:eastAsiaTheme="minorHAnsi"/>
          <w:color w:val="000000"/>
          <w:sz w:val="22"/>
          <w:szCs w:val="22"/>
          <w:lang w:eastAsia="en-US"/>
        </w:rPr>
        <w:t xml:space="preserve"> </w:t>
      </w:r>
      <w:r w:rsidRPr="002422E4">
        <w:rPr>
          <w:rFonts w:eastAsiaTheme="minorHAnsi"/>
          <w:color w:val="000000"/>
          <w:sz w:val="22"/>
          <w:szCs w:val="22"/>
          <w:lang w:eastAsia="en-US"/>
        </w:rPr>
        <w:t>două sau mai multe persoane se aplică urmatoarele reguli:</w:t>
      </w:r>
    </w:p>
    <w:p w:rsidR="002422E4" w:rsidRPr="002422E4" w:rsidRDefault="002422E4" w:rsidP="002422E4">
      <w:pPr>
        <w:pStyle w:val="ListParagraph"/>
        <w:numPr>
          <w:ilvl w:val="0"/>
          <w:numId w:val="8"/>
        </w:numPr>
        <w:autoSpaceDE w:val="0"/>
        <w:autoSpaceDN w:val="0"/>
        <w:adjustRightInd w:val="0"/>
        <w:rPr>
          <w:rFonts w:eastAsiaTheme="minorHAnsi"/>
          <w:color w:val="000000"/>
          <w:sz w:val="22"/>
          <w:szCs w:val="22"/>
          <w:lang w:eastAsia="en-US"/>
        </w:rPr>
      </w:pPr>
      <w:r w:rsidRPr="002422E4">
        <w:rPr>
          <w:rFonts w:eastAsiaTheme="minorHAnsi"/>
          <w:color w:val="000000"/>
          <w:sz w:val="22"/>
          <w:szCs w:val="22"/>
          <w:lang w:eastAsia="en-US"/>
        </w:rPr>
        <w:t>în cazul în care cotele-părţi din dreptul de proprietate asupra imobilului sunt determinate, fiecare coproprietar datorează taxa corespunzătoare cotei-părţi deţinute,</w:t>
      </w:r>
    </w:p>
    <w:p w:rsidR="002422E4" w:rsidRPr="002422E4" w:rsidRDefault="002422E4" w:rsidP="002422E4">
      <w:pPr>
        <w:pStyle w:val="ListParagraph"/>
        <w:numPr>
          <w:ilvl w:val="0"/>
          <w:numId w:val="8"/>
        </w:numPr>
        <w:autoSpaceDE w:val="0"/>
        <w:autoSpaceDN w:val="0"/>
        <w:adjustRightInd w:val="0"/>
        <w:rPr>
          <w:rFonts w:eastAsiaTheme="minorHAnsi"/>
          <w:color w:val="000000"/>
          <w:sz w:val="22"/>
          <w:szCs w:val="22"/>
          <w:lang w:eastAsia="en-US"/>
        </w:rPr>
      </w:pPr>
      <w:r w:rsidRPr="002422E4">
        <w:rPr>
          <w:rFonts w:eastAsiaTheme="minorHAnsi"/>
          <w:color w:val="000000"/>
          <w:sz w:val="22"/>
          <w:szCs w:val="22"/>
          <w:lang w:eastAsia="en-US"/>
        </w:rPr>
        <w:t>în cazul în care cotele-părţi din dreptul de proprietate asupra imobilului nu sunt determinate, cotele-părţi sunt prezumate a fi egale, până la proba contrară. Fiecare dintre coproprietari datorează o taxă egală, rezultată în urma împărţirii taxei datorate pentru întreg imobilul.</w:t>
      </w:r>
    </w:p>
    <w:p w:rsidR="002422E4" w:rsidRPr="002422E4" w:rsidRDefault="002422E4" w:rsidP="002422E4">
      <w:pPr>
        <w:pStyle w:val="ListParagraph"/>
        <w:autoSpaceDE w:val="0"/>
        <w:autoSpaceDN w:val="0"/>
        <w:adjustRightInd w:val="0"/>
        <w:ind w:left="142" w:hanging="142"/>
        <w:rPr>
          <w:rFonts w:eastAsiaTheme="minorHAnsi"/>
          <w:color w:val="000000"/>
          <w:sz w:val="22"/>
          <w:szCs w:val="22"/>
          <w:lang w:eastAsia="en-US"/>
        </w:rPr>
      </w:pPr>
      <w:r w:rsidRPr="002422E4">
        <w:rPr>
          <w:rFonts w:eastAsiaTheme="minorHAnsi"/>
          <w:color w:val="000000"/>
          <w:sz w:val="22"/>
          <w:szCs w:val="22"/>
          <w:lang w:eastAsia="en-US"/>
        </w:rPr>
        <w:t xml:space="preserve"> 8) Taxa se stabilește prin  decizie de impunere emisă de către Direcția Fiscală a Municipiului Timișoara, în baza referatului </w:t>
      </w:r>
      <w:r w:rsidR="00BE2ECD">
        <w:rPr>
          <w:rFonts w:eastAsiaTheme="minorHAnsi"/>
          <w:color w:val="000000"/>
          <w:sz w:val="22"/>
          <w:szCs w:val="22"/>
          <w:lang w:eastAsia="en-US"/>
        </w:rPr>
        <w:t xml:space="preserve">întocmit de compartimentul de specialitate </w:t>
      </w:r>
      <w:r w:rsidRPr="002422E4">
        <w:rPr>
          <w:rFonts w:eastAsiaTheme="minorHAnsi"/>
          <w:color w:val="000000"/>
          <w:sz w:val="22"/>
          <w:szCs w:val="22"/>
          <w:lang w:eastAsia="en-US"/>
        </w:rPr>
        <w:t>și va cuprinde următoarele elemente:</w:t>
      </w:r>
    </w:p>
    <w:p w:rsidR="002422E4" w:rsidRPr="002422E4" w:rsidRDefault="002422E4" w:rsidP="002422E4">
      <w:pPr>
        <w:pStyle w:val="ListParagraph"/>
        <w:numPr>
          <w:ilvl w:val="0"/>
          <w:numId w:val="8"/>
        </w:numPr>
        <w:autoSpaceDE w:val="0"/>
        <w:autoSpaceDN w:val="0"/>
        <w:adjustRightInd w:val="0"/>
        <w:jc w:val="both"/>
        <w:rPr>
          <w:rFonts w:eastAsiaTheme="minorHAnsi"/>
          <w:color w:val="000000"/>
          <w:sz w:val="22"/>
          <w:szCs w:val="22"/>
          <w:lang w:eastAsia="en-US"/>
        </w:rPr>
      </w:pPr>
      <w:r w:rsidRPr="002422E4">
        <w:rPr>
          <w:rFonts w:eastAsiaTheme="minorHAnsi"/>
          <w:color w:val="000000"/>
          <w:sz w:val="22"/>
          <w:szCs w:val="22"/>
          <w:lang w:eastAsia="en-US"/>
        </w:rPr>
        <w:t>denumirea organului fiscal emitent,</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data la care a fost emis şi termenele de plată</w:t>
      </w:r>
      <w:r w:rsidRPr="002422E4">
        <w:rPr>
          <w:rFonts w:ascii="Helv" w:eastAsiaTheme="minorHAnsi" w:hAnsi="Helv" w:cs="Helv"/>
          <w:color w:val="000000"/>
          <w:sz w:val="22"/>
          <w:szCs w:val="22"/>
          <w:lang w:eastAsia="en-US"/>
        </w:rPr>
        <w:t>,</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datele de identificare a contribuabilului/plătitorului şi, dacă este cazul, datele de identificare a persoanei împuternicite de contribuabil/plătitor,</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obiectul actului administrativ fiscal și perioada pentru care a fost stabilită taxa,</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motivele de fapt,</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temeiul de drept,</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numele şi calitatea persoanelor împuternicite ale organului fiscal, potrivit legii,</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semnătura persoanelor împuternicite ale organului fiscal, potrivit legii, precum şi ştampila organului fiscal emitent,</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ascii="Helv" w:eastAsiaTheme="minorHAnsi" w:hAnsi="Helv" w:cs="Helv"/>
          <w:color w:val="000000"/>
          <w:sz w:val="22"/>
          <w:szCs w:val="22"/>
          <w:lang w:eastAsia="en-US"/>
        </w:rPr>
      </w:pPr>
      <w:r w:rsidRPr="002422E4">
        <w:rPr>
          <w:rFonts w:eastAsiaTheme="minorHAnsi"/>
          <w:color w:val="000000"/>
          <w:sz w:val="22"/>
          <w:szCs w:val="22"/>
          <w:lang w:eastAsia="en-US"/>
        </w:rPr>
        <w:t>posibilitatea de a fi contestat, termenul de depunere a contestaţiei şi organul fiscal la care se depune contestaţia,</w:t>
      </w:r>
      <w:r w:rsidRPr="002422E4">
        <w:rPr>
          <w:rFonts w:ascii="Helv" w:eastAsiaTheme="minorHAnsi" w:hAnsi="Helv" w:cs="Helv"/>
          <w:lang w:eastAsia="en-US"/>
        </w:rPr>
        <w:t> </w:t>
      </w:r>
    </w:p>
    <w:p w:rsidR="002422E4" w:rsidRPr="002422E4" w:rsidRDefault="002422E4" w:rsidP="002422E4">
      <w:pPr>
        <w:pStyle w:val="ListParagraph"/>
        <w:numPr>
          <w:ilvl w:val="0"/>
          <w:numId w:val="8"/>
        </w:numPr>
        <w:autoSpaceDE w:val="0"/>
        <w:autoSpaceDN w:val="0"/>
        <w:adjustRightInd w:val="0"/>
        <w:jc w:val="both"/>
        <w:rPr>
          <w:rFonts w:eastAsiaTheme="minorHAnsi"/>
          <w:color w:val="000000"/>
          <w:sz w:val="22"/>
          <w:szCs w:val="22"/>
          <w:lang w:eastAsia="en-US"/>
        </w:rPr>
      </w:pPr>
      <w:r w:rsidRPr="002422E4">
        <w:rPr>
          <w:rFonts w:eastAsiaTheme="minorHAnsi"/>
          <w:color w:val="000000"/>
          <w:sz w:val="22"/>
          <w:szCs w:val="22"/>
          <w:lang w:eastAsia="en-US"/>
        </w:rPr>
        <w:t>menţiuni privind audierea contribuabilului/plătitorului.</w:t>
      </w:r>
      <w:r w:rsidRPr="002422E4">
        <w:rPr>
          <w:rFonts w:ascii="Helv" w:eastAsiaTheme="minorHAnsi" w:hAnsi="Helv" w:cs="Helv"/>
          <w:lang w:eastAsia="en-US"/>
        </w:rPr>
        <w:t> </w:t>
      </w:r>
      <w:r w:rsidRPr="002422E4">
        <w:rPr>
          <w:rFonts w:ascii="Helv" w:eastAsiaTheme="minorHAnsi" w:hAnsi="Helv" w:cs="Helv"/>
          <w:lang w:eastAsia="en-US"/>
        </w:rPr>
        <w:t> </w:t>
      </w:r>
    </w:p>
    <w:p w:rsidR="002422E4" w:rsidRPr="002422E4" w:rsidRDefault="002422E4" w:rsidP="007A2BA0">
      <w:pPr>
        <w:autoSpaceDE w:val="0"/>
        <w:autoSpaceDN w:val="0"/>
        <w:adjustRightInd w:val="0"/>
        <w:jc w:val="both"/>
        <w:rPr>
          <w:rFonts w:eastAsiaTheme="minorHAnsi"/>
          <w:bCs/>
          <w:color w:val="000000"/>
          <w:sz w:val="22"/>
          <w:szCs w:val="22"/>
          <w:lang w:eastAsia="en-US"/>
        </w:rPr>
      </w:pPr>
      <w:r w:rsidRPr="002422E4">
        <w:rPr>
          <w:rFonts w:eastAsiaTheme="minorHAnsi"/>
          <w:bCs/>
          <w:color w:val="000000"/>
          <w:sz w:val="22"/>
          <w:szCs w:val="22"/>
          <w:lang w:eastAsia="en-US"/>
        </w:rPr>
        <w:t xml:space="preserve">  9)</w:t>
      </w:r>
      <w:r w:rsidR="007A2BA0" w:rsidRPr="002422E4">
        <w:rPr>
          <w:rFonts w:eastAsiaTheme="minorHAnsi"/>
          <w:bCs/>
          <w:color w:val="000000"/>
          <w:sz w:val="22"/>
          <w:szCs w:val="22"/>
          <w:lang w:eastAsia="en-US"/>
        </w:rPr>
        <w:t xml:space="preserve">  </w:t>
      </w:r>
      <w:r w:rsidRPr="002422E4">
        <w:rPr>
          <w:rFonts w:eastAsiaTheme="minorHAnsi"/>
          <w:bCs/>
          <w:color w:val="000000"/>
          <w:sz w:val="22"/>
          <w:szCs w:val="22"/>
          <w:lang w:eastAsia="en-US"/>
        </w:rPr>
        <w:t xml:space="preserve">Referitor la neplata taxei și majorări </w:t>
      </w:r>
      <w:r w:rsidRPr="002422E4">
        <w:rPr>
          <w:rFonts w:eastAsiaTheme="minorHAnsi"/>
          <w:color w:val="000000"/>
          <w:sz w:val="22"/>
          <w:szCs w:val="22"/>
          <w:lang w:eastAsia="en-US"/>
        </w:rPr>
        <w:t>de întârziere:</w:t>
      </w:r>
    </w:p>
    <w:p w:rsidR="007A2BA0" w:rsidRPr="002422E4" w:rsidRDefault="007A2BA0" w:rsidP="002422E4">
      <w:pPr>
        <w:pStyle w:val="ListParagraph"/>
        <w:numPr>
          <w:ilvl w:val="0"/>
          <w:numId w:val="4"/>
        </w:numPr>
        <w:autoSpaceDE w:val="0"/>
        <w:autoSpaceDN w:val="0"/>
        <w:adjustRightInd w:val="0"/>
        <w:jc w:val="both"/>
        <w:rPr>
          <w:rFonts w:eastAsiaTheme="minorHAnsi"/>
          <w:color w:val="000000"/>
          <w:sz w:val="22"/>
          <w:szCs w:val="22"/>
          <w:lang w:eastAsia="en-US"/>
        </w:rPr>
      </w:pPr>
      <w:r w:rsidRPr="002422E4">
        <w:rPr>
          <w:rFonts w:eastAsiaTheme="minorHAnsi"/>
          <w:color w:val="000000"/>
          <w:sz w:val="22"/>
          <w:szCs w:val="22"/>
          <w:lang w:eastAsia="en-US"/>
        </w:rPr>
        <w:t xml:space="preserve">Pentru neplata taxei la termenele scadente se datorează majorări de întârziere. </w:t>
      </w:r>
    </w:p>
    <w:p w:rsidR="007A2BA0" w:rsidRPr="002422E4" w:rsidRDefault="007A2BA0" w:rsidP="007A2BA0">
      <w:pPr>
        <w:pStyle w:val="ListParagraph"/>
        <w:numPr>
          <w:ilvl w:val="0"/>
          <w:numId w:val="4"/>
        </w:numPr>
        <w:autoSpaceDE w:val="0"/>
        <w:autoSpaceDN w:val="0"/>
        <w:adjustRightInd w:val="0"/>
        <w:jc w:val="both"/>
        <w:rPr>
          <w:rFonts w:eastAsiaTheme="minorHAnsi"/>
          <w:color w:val="000000"/>
          <w:sz w:val="22"/>
          <w:szCs w:val="22"/>
          <w:lang w:eastAsia="en-US"/>
        </w:rPr>
      </w:pPr>
      <w:r w:rsidRPr="002422E4">
        <w:rPr>
          <w:rFonts w:eastAsiaTheme="minorHAnsi"/>
          <w:color w:val="000000"/>
          <w:sz w:val="22"/>
          <w:szCs w:val="22"/>
          <w:lang w:eastAsia="en-US"/>
        </w:rPr>
        <w:t xml:space="preserve">Nivelul și modul de calcul al majorărilor de întârzriere sunt cele prevăzute la art. 183 alin.(2) din Legea  nr. 207/2015. </w:t>
      </w:r>
    </w:p>
    <w:p w:rsidR="007A2BA0" w:rsidRPr="002422E4" w:rsidRDefault="002422E4" w:rsidP="007A2BA0">
      <w:pPr>
        <w:pStyle w:val="ListParagraph"/>
        <w:numPr>
          <w:ilvl w:val="0"/>
          <w:numId w:val="4"/>
        </w:numPr>
        <w:autoSpaceDE w:val="0"/>
        <w:autoSpaceDN w:val="0"/>
        <w:adjustRightInd w:val="0"/>
        <w:jc w:val="both"/>
        <w:rPr>
          <w:rFonts w:eastAsiaTheme="minorHAnsi"/>
          <w:color w:val="000000"/>
          <w:sz w:val="22"/>
          <w:szCs w:val="22"/>
          <w:lang w:eastAsia="en-US"/>
        </w:rPr>
      </w:pPr>
      <w:r w:rsidRPr="002422E4">
        <w:rPr>
          <w:rFonts w:eastAsiaTheme="minorHAnsi"/>
          <w:color w:val="000000"/>
          <w:sz w:val="22"/>
          <w:szCs w:val="22"/>
          <w:lang w:eastAsia="en-US"/>
        </w:rPr>
        <w:t xml:space="preserve"> </w:t>
      </w:r>
      <w:r w:rsidR="007A2BA0" w:rsidRPr="002422E4">
        <w:rPr>
          <w:rFonts w:eastAsiaTheme="minorHAnsi"/>
          <w:color w:val="000000"/>
          <w:sz w:val="22"/>
          <w:szCs w:val="22"/>
          <w:lang w:eastAsia="en-US"/>
        </w:rPr>
        <w:t>Majorările de întârziere se stabilesc prin decizie de impunere emisă de organul fiscal, prevederile Codului d</w:t>
      </w:r>
      <w:r w:rsidRPr="002422E4">
        <w:rPr>
          <w:rFonts w:eastAsiaTheme="minorHAnsi"/>
          <w:color w:val="000000"/>
          <w:sz w:val="22"/>
          <w:szCs w:val="22"/>
          <w:lang w:eastAsia="en-US"/>
        </w:rPr>
        <w:t>e procedură fiscală în  materie</w:t>
      </w:r>
      <w:r w:rsidR="007A2BA0" w:rsidRPr="002422E4">
        <w:rPr>
          <w:rFonts w:eastAsiaTheme="minorHAnsi"/>
          <w:color w:val="000000"/>
          <w:sz w:val="22"/>
          <w:szCs w:val="22"/>
          <w:lang w:eastAsia="en-US"/>
        </w:rPr>
        <w:t xml:space="preserve"> aplicându-se corespunzător.</w:t>
      </w:r>
    </w:p>
    <w:p w:rsidR="007A2BA0" w:rsidRDefault="007A2BA0" w:rsidP="00DD49F6">
      <w:pPr>
        <w:autoSpaceDE w:val="0"/>
        <w:autoSpaceDN w:val="0"/>
        <w:adjustRightInd w:val="0"/>
        <w:jc w:val="both"/>
        <w:rPr>
          <w:rFonts w:eastAsiaTheme="minorHAnsi"/>
          <w:lang w:eastAsia="en-US"/>
        </w:rPr>
      </w:pPr>
    </w:p>
    <w:p w:rsidR="0090079E" w:rsidRPr="002422E4" w:rsidRDefault="0090079E" w:rsidP="00DD49F6">
      <w:pPr>
        <w:autoSpaceDE w:val="0"/>
        <w:autoSpaceDN w:val="0"/>
        <w:adjustRightInd w:val="0"/>
        <w:jc w:val="both"/>
        <w:rPr>
          <w:rFonts w:eastAsiaTheme="minorHAnsi"/>
          <w:lang w:eastAsia="en-US"/>
        </w:rPr>
      </w:pPr>
    </w:p>
    <w:p w:rsidR="0090079E" w:rsidRDefault="007243A7" w:rsidP="0090079E">
      <w:pPr>
        <w:ind w:firstLine="720"/>
        <w:rPr>
          <w:b/>
          <w:sz w:val="22"/>
          <w:szCs w:val="22"/>
        </w:rPr>
      </w:pPr>
      <w:r>
        <w:rPr>
          <w:b/>
          <w:sz w:val="22"/>
          <w:szCs w:val="22"/>
        </w:rPr>
        <w:t xml:space="preserve">             VICEPRIMAR</w:t>
      </w:r>
      <w:r w:rsidR="0090079E">
        <w:rPr>
          <w:b/>
          <w:sz w:val="22"/>
          <w:szCs w:val="22"/>
        </w:rPr>
        <w:tab/>
      </w:r>
      <w:r w:rsidR="0090079E">
        <w:rPr>
          <w:b/>
          <w:sz w:val="22"/>
          <w:szCs w:val="22"/>
        </w:rPr>
        <w:tab/>
      </w:r>
      <w:r w:rsidR="0090079E">
        <w:rPr>
          <w:b/>
          <w:sz w:val="22"/>
          <w:szCs w:val="22"/>
        </w:rPr>
        <w:tab/>
      </w:r>
      <w:r w:rsidR="0090079E">
        <w:rPr>
          <w:b/>
          <w:sz w:val="22"/>
          <w:szCs w:val="22"/>
        </w:rPr>
        <w:tab/>
      </w:r>
      <w:r w:rsidR="0090079E">
        <w:rPr>
          <w:b/>
          <w:sz w:val="22"/>
          <w:szCs w:val="22"/>
        </w:rPr>
        <w:tab/>
        <w:t xml:space="preserve">           </w:t>
      </w:r>
      <w:r>
        <w:rPr>
          <w:b/>
          <w:sz w:val="22"/>
          <w:szCs w:val="22"/>
        </w:rPr>
        <w:t xml:space="preserve">            </w:t>
      </w:r>
      <w:r w:rsidR="00066F10">
        <w:rPr>
          <w:b/>
          <w:sz w:val="22"/>
          <w:szCs w:val="22"/>
        </w:rPr>
        <w:t xml:space="preserve">   </w:t>
      </w:r>
    </w:p>
    <w:p w:rsidR="0090079E" w:rsidRPr="006C0FD2" w:rsidRDefault="0090079E" w:rsidP="0090079E">
      <w:pPr>
        <w:ind w:firstLine="720"/>
        <w:rPr>
          <w:b/>
          <w:sz w:val="22"/>
          <w:szCs w:val="22"/>
        </w:rPr>
      </w:pPr>
      <w:r>
        <w:rPr>
          <w:b/>
          <w:sz w:val="22"/>
          <w:szCs w:val="22"/>
        </w:rPr>
        <w:t xml:space="preserve">       </w:t>
      </w:r>
      <w:r w:rsidR="0034007E">
        <w:rPr>
          <w:b/>
          <w:sz w:val="22"/>
          <w:szCs w:val="22"/>
        </w:rPr>
        <w:t xml:space="preserve">   </w:t>
      </w:r>
      <w:r>
        <w:rPr>
          <w:b/>
          <w:sz w:val="22"/>
          <w:szCs w:val="22"/>
        </w:rPr>
        <w:t xml:space="preserve">  </w:t>
      </w:r>
      <w:r w:rsidR="007243A7">
        <w:rPr>
          <w:b/>
          <w:sz w:val="22"/>
          <w:szCs w:val="22"/>
        </w:rPr>
        <w:t>IMRE FARKAS</w:t>
      </w:r>
      <w:r>
        <w:rPr>
          <w:b/>
          <w:sz w:val="22"/>
          <w:szCs w:val="22"/>
        </w:rPr>
        <w:t xml:space="preserve">                                 </w:t>
      </w:r>
      <w:r>
        <w:rPr>
          <w:b/>
          <w:sz w:val="22"/>
          <w:szCs w:val="22"/>
        </w:rPr>
        <w:tab/>
      </w:r>
      <w:r>
        <w:rPr>
          <w:b/>
          <w:sz w:val="22"/>
          <w:szCs w:val="22"/>
        </w:rPr>
        <w:tab/>
        <w:t xml:space="preserve">                 </w:t>
      </w:r>
      <w:r w:rsidR="007243A7">
        <w:rPr>
          <w:b/>
          <w:sz w:val="22"/>
          <w:szCs w:val="22"/>
        </w:rPr>
        <w:t xml:space="preserve">           </w:t>
      </w:r>
      <w:r>
        <w:rPr>
          <w:b/>
          <w:sz w:val="22"/>
          <w:szCs w:val="22"/>
        </w:rPr>
        <w:t xml:space="preserve">    </w:t>
      </w:r>
    </w:p>
    <w:p w:rsidR="0090079E" w:rsidRPr="006C0FD2" w:rsidRDefault="0090079E" w:rsidP="0090079E">
      <w:pPr>
        <w:ind w:firstLine="720"/>
        <w:rPr>
          <w:b/>
          <w:sz w:val="22"/>
          <w:szCs w:val="22"/>
        </w:rPr>
      </w:pPr>
    </w:p>
    <w:p w:rsidR="0090079E" w:rsidRDefault="0090079E" w:rsidP="0090079E">
      <w:pPr>
        <w:ind w:firstLine="720"/>
        <w:rPr>
          <w:b/>
          <w:sz w:val="22"/>
          <w:szCs w:val="22"/>
        </w:rPr>
      </w:pPr>
    </w:p>
    <w:p w:rsidR="0090079E" w:rsidRDefault="0090079E" w:rsidP="0090079E">
      <w:pPr>
        <w:ind w:firstLine="720"/>
        <w:rPr>
          <w:b/>
          <w:sz w:val="22"/>
          <w:szCs w:val="22"/>
        </w:rPr>
      </w:pPr>
    </w:p>
    <w:p w:rsidR="0090079E" w:rsidRPr="006C0FD2" w:rsidRDefault="0090079E" w:rsidP="0090079E">
      <w:pPr>
        <w:ind w:firstLine="720"/>
        <w:rPr>
          <w:b/>
          <w:sz w:val="22"/>
          <w:szCs w:val="22"/>
        </w:rPr>
      </w:pPr>
    </w:p>
    <w:p w:rsidR="0090079E" w:rsidRPr="006C0FD2" w:rsidRDefault="0090079E" w:rsidP="0090079E">
      <w:pPr>
        <w:ind w:firstLine="720"/>
        <w:rPr>
          <w:b/>
          <w:sz w:val="22"/>
          <w:szCs w:val="22"/>
        </w:rPr>
      </w:pPr>
    </w:p>
    <w:p w:rsidR="0090079E" w:rsidRDefault="0090079E" w:rsidP="0090079E">
      <w:pPr>
        <w:ind w:firstLine="720"/>
        <w:rPr>
          <w:b/>
          <w:sz w:val="22"/>
          <w:szCs w:val="22"/>
        </w:rPr>
      </w:pPr>
    </w:p>
    <w:p w:rsidR="0090079E" w:rsidRPr="006C0FD2" w:rsidRDefault="0090079E" w:rsidP="0090079E">
      <w:pPr>
        <w:ind w:firstLine="720"/>
        <w:rPr>
          <w:b/>
          <w:sz w:val="22"/>
          <w:szCs w:val="22"/>
        </w:rPr>
      </w:pPr>
      <w:r w:rsidRPr="006C0FD2">
        <w:rPr>
          <w:b/>
          <w:sz w:val="22"/>
          <w:szCs w:val="22"/>
        </w:rPr>
        <w:t xml:space="preserve">DIRECTOR DIRECŢIA ECONOMICĂ                  </w:t>
      </w:r>
      <w:r>
        <w:rPr>
          <w:b/>
          <w:sz w:val="22"/>
          <w:szCs w:val="22"/>
        </w:rPr>
        <w:t xml:space="preserve">                     </w:t>
      </w:r>
      <w:r w:rsidRPr="006C0FD2">
        <w:rPr>
          <w:b/>
          <w:sz w:val="22"/>
          <w:szCs w:val="22"/>
        </w:rPr>
        <w:t>DIRECTOR DIRECŢIA FISCALĂ</w:t>
      </w:r>
    </w:p>
    <w:p w:rsidR="0090079E" w:rsidRPr="006C0FD2" w:rsidRDefault="0090079E" w:rsidP="0090079E">
      <w:pPr>
        <w:ind w:firstLine="720"/>
        <w:rPr>
          <w:b/>
          <w:sz w:val="22"/>
          <w:szCs w:val="22"/>
        </w:rPr>
      </w:pPr>
      <w:r w:rsidRPr="006C0FD2">
        <w:rPr>
          <w:b/>
          <w:sz w:val="22"/>
          <w:szCs w:val="22"/>
        </w:rPr>
        <w:t xml:space="preserve">         STELIANA STANCIU                                               </w:t>
      </w:r>
      <w:r>
        <w:rPr>
          <w:b/>
          <w:sz w:val="22"/>
          <w:szCs w:val="22"/>
        </w:rPr>
        <w:t xml:space="preserve">                              </w:t>
      </w:r>
      <w:r w:rsidRPr="006C0FD2">
        <w:rPr>
          <w:b/>
          <w:sz w:val="22"/>
          <w:szCs w:val="22"/>
        </w:rPr>
        <w:t>ADRIAN BODO</w:t>
      </w:r>
    </w:p>
    <w:p w:rsidR="0090079E" w:rsidRPr="006C0FD2" w:rsidRDefault="0090079E" w:rsidP="0090079E">
      <w:pPr>
        <w:ind w:firstLine="720"/>
        <w:rPr>
          <w:b/>
          <w:sz w:val="22"/>
          <w:szCs w:val="22"/>
        </w:rPr>
      </w:pPr>
    </w:p>
    <w:p w:rsidR="0090079E" w:rsidRPr="006C0FD2" w:rsidRDefault="0090079E" w:rsidP="0090079E">
      <w:pPr>
        <w:ind w:firstLine="720"/>
        <w:rPr>
          <w:b/>
          <w:sz w:val="22"/>
          <w:szCs w:val="22"/>
        </w:rPr>
      </w:pPr>
    </w:p>
    <w:p w:rsidR="0090079E" w:rsidRPr="006C0FD2" w:rsidRDefault="0090079E" w:rsidP="0090079E">
      <w:pPr>
        <w:ind w:firstLine="720"/>
        <w:rPr>
          <w:b/>
          <w:sz w:val="22"/>
          <w:szCs w:val="22"/>
        </w:rPr>
      </w:pPr>
    </w:p>
    <w:p w:rsidR="0090079E" w:rsidRDefault="0090079E" w:rsidP="0090079E">
      <w:pPr>
        <w:ind w:firstLine="720"/>
        <w:rPr>
          <w:b/>
          <w:sz w:val="22"/>
          <w:szCs w:val="22"/>
        </w:rPr>
      </w:pPr>
    </w:p>
    <w:p w:rsidR="0090079E" w:rsidRPr="006C0FD2" w:rsidRDefault="0090079E" w:rsidP="0090079E">
      <w:pPr>
        <w:ind w:firstLine="720"/>
        <w:rPr>
          <w:b/>
          <w:sz w:val="22"/>
          <w:szCs w:val="22"/>
        </w:rPr>
      </w:pPr>
    </w:p>
    <w:p w:rsidR="0090079E" w:rsidRPr="006C0FD2" w:rsidRDefault="0090079E" w:rsidP="0090079E">
      <w:pPr>
        <w:ind w:firstLine="720"/>
        <w:rPr>
          <w:b/>
          <w:sz w:val="22"/>
          <w:szCs w:val="22"/>
        </w:rPr>
      </w:pPr>
    </w:p>
    <w:p w:rsidR="0090079E" w:rsidRPr="006C0FD2" w:rsidRDefault="0090079E" w:rsidP="0090079E">
      <w:pPr>
        <w:rPr>
          <w:sz w:val="22"/>
          <w:szCs w:val="22"/>
        </w:rPr>
      </w:pPr>
      <w:r w:rsidRPr="006C0FD2">
        <w:rPr>
          <w:b/>
          <w:sz w:val="22"/>
          <w:szCs w:val="22"/>
        </w:rPr>
        <w:t xml:space="preserve">                                   SERVICIUL JURIDIC                                                        </w:t>
      </w:r>
      <w:r>
        <w:rPr>
          <w:b/>
          <w:sz w:val="22"/>
          <w:szCs w:val="22"/>
        </w:rPr>
        <w:t xml:space="preserve">             </w:t>
      </w:r>
      <w:r w:rsidRPr="006C0FD2">
        <w:rPr>
          <w:b/>
          <w:sz w:val="22"/>
          <w:szCs w:val="22"/>
        </w:rPr>
        <w:t>CONSILIER</w:t>
      </w:r>
    </w:p>
    <w:p w:rsidR="0090079E" w:rsidRDefault="0090079E" w:rsidP="0090079E">
      <w:pPr>
        <w:rPr>
          <w:b/>
          <w:sz w:val="22"/>
          <w:szCs w:val="22"/>
        </w:rPr>
      </w:pPr>
      <w:r w:rsidRPr="006C0FD2">
        <w:rPr>
          <w:sz w:val="22"/>
          <w:szCs w:val="22"/>
        </w:rPr>
        <w:tab/>
      </w:r>
      <w:r w:rsidRPr="006C0FD2">
        <w:rPr>
          <w:sz w:val="22"/>
          <w:szCs w:val="22"/>
        </w:rPr>
        <w:tab/>
      </w:r>
      <w:r w:rsidRPr="006C0FD2">
        <w:rPr>
          <w:sz w:val="22"/>
          <w:szCs w:val="22"/>
        </w:rPr>
        <w:tab/>
      </w:r>
      <w:r w:rsidRPr="006C0FD2">
        <w:rPr>
          <w:sz w:val="22"/>
          <w:szCs w:val="22"/>
        </w:rPr>
        <w:tab/>
      </w:r>
      <w:r w:rsidRPr="006C0FD2">
        <w:rPr>
          <w:sz w:val="22"/>
          <w:szCs w:val="22"/>
        </w:rPr>
        <w:tab/>
      </w:r>
      <w:r w:rsidRPr="006C0FD2">
        <w:rPr>
          <w:sz w:val="22"/>
          <w:szCs w:val="22"/>
        </w:rPr>
        <w:tab/>
      </w:r>
      <w:r w:rsidRPr="006C0FD2">
        <w:rPr>
          <w:sz w:val="22"/>
          <w:szCs w:val="22"/>
        </w:rPr>
        <w:tab/>
      </w:r>
      <w:r w:rsidRPr="006C0FD2">
        <w:rPr>
          <w:sz w:val="22"/>
          <w:szCs w:val="22"/>
        </w:rPr>
        <w:tab/>
        <w:t xml:space="preserve">                       </w:t>
      </w:r>
      <w:r>
        <w:rPr>
          <w:sz w:val="22"/>
          <w:szCs w:val="22"/>
        </w:rPr>
        <w:t xml:space="preserve">    </w:t>
      </w:r>
      <w:r w:rsidRPr="006C0FD2">
        <w:rPr>
          <w:sz w:val="22"/>
          <w:szCs w:val="22"/>
        </w:rPr>
        <w:t xml:space="preserve"> </w:t>
      </w:r>
      <w:r>
        <w:rPr>
          <w:sz w:val="22"/>
          <w:szCs w:val="22"/>
        </w:rPr>
        <w:t xml:space="preserve">           </w:t>
      </w:r>
      <w:r w:rsidRPr="006C0FD2">
        <w:rPr>
          <w:b/>
          <w:sz w:val="22"/>
          <w:szCs w:val="22"/>
        </w:rPr>
        <w:t>ANA GEORGIU</w:t>
      </w:r>
    </w:p>
    <w:p w:rsidR="00DB37DF" w:rsidRDefault="00DB37DF" w:rsidP="00026AF1">
      <w:pPr>
        <w:rPr>
          <w:b/>
          <w:sz w:val="22"/>
          <w:szCs w:val="22"/>
        </w:rPr>
      </w:pPr>
    </w:p>
    <w:p w:rsidR="00DB37DF" w:rsidRDefault="00DB37DF" w:rsidP="00026AF1">
      <w:pPr>
        <w:rPr>
          <w:b/>
          <w:sz w:val="22"/>
          <w:szCs w:val="22"/>
        </w:rPr>
      </w:pPr>
    </w:p>
    <w:p w:rsidR="00026AF1" w:rsidRPr="006C0FD2" w:rsidRDefault="000B346D" w:rsidP="00026AF1">
      <w:pPr>
        <w:rPr>
          <w:sz w:val="18"/>
          <w:szCs w:val="18"/>
        </w:rPr>
      </w:pPr>
      <w:r w:rsidRPr="006C0FD2">
        <w:rPr>
          <w:sz w:val="18"/>
          <w:szCs w:val="18"/>
        </w:rPr>
        <w:t xml:space="preserve">Red/Dac A.G.                                                                                                                                                        </w:t>
      </w:r>
    </w:p>
    <w:p w:rsidR="0055091B" w:rsidRPr="006C0FD2" w:rsidRDefault="000B346D">
      <w:pPr>
        <w:rPr>
          <w:sz w:val="18"/>
          <w:szCs w:val="18"/>
        </w:rPr>
      </w:pPr>
      <w:r w:rsidRPr="006C0FD2">
        <w:rPr>
          <w:sz w:val="18"/>
          <w:szCs w:val="18"/>
        </w:rPr>
        <w:t>Ex.1</w:t>
      </w:r>
    </w:p>
    <w:sectPr w:rsidR="0055091B" w:rsidRPr="006C0FD2" w:rsidSect="004430C4">
      <w:footerReference w:type="default" r:id="rId7"/>
      <w:pgSz w:w="11906" w:h="16838"/>
      <w:pgMar w:top="567" w:right="566" w:bottom="284" w:left="709" w:header="708" w:footer="1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92E" w:rsidRDefault="0020492E" w:rsidP="00873E91">
      <w:r>
        <w:separator/>
      </w:r>
    </w:p>
  </w:endnote>
  <w:endnote w:type="continuationSeparator" w:id="0">
    <w:p w:rsidR="0020492E" w:rsidRDefault="0020492E" w:rsidP="00873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67167"/>
      <w:docPartObj>
        <w:docPartGallery w:val="Page Numbers (Bottom of Page)"/>
        <w:docPartUnique/>
      </w:docPartObj>
    </w:sdtPr>
    <w:sdtContent>
      <w:p w:rsidR="006C0FD2" w:rsidRDefault="00E52B1D">
        <w:pPr>
          <w:pStyle w:val="Footer"/>
          <w:jc w:val="center"/>
        </w:pPr>
        <w:fldSimple w:instr=" PAGE   \* MERGEFORMAT ">
          <w:r w:rsidR="00066F10">
            <w:rPr>
              <w:noProof/>
            </w:rPr>
            <w:t>2</w:t>
          </w:r>
        </w:fldSimple>
      </w:p>
    </w:sdtContent>
  </w:sdt>
  <w:p w:rsidR="006C0FD2" w:rsidRDefault="006C0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92E" w:rsidRDefault="0020492E" w:rsidP="00873E91">
      <w:r>
        <w:separator/>
      </w:r>
    </w:p>
  </w:footnote>
  <w:footnote w:type="continuationSeparator" w:id="0">
    <w:p w:rsidR="0020492E" w:rsidRDefault="0020492E" w:rsidP="00873E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BDC"/>
    <w:multiLevelType w:val="hybridMultilevel"/>
    <w:tmpl w:val="1EB8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C0ECA"/>
    <w:multiLevelType w:val="hybridMultilevel"/>
    <w:tmpl w:val="64DEF81C"/>
    <w:lvl w:ilvl="0" w:tplc="BD3C3C5E">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16B9602C"/>
    <w:multiLevelType w:val="hybridMultilevel"/>
    <w:tmpl w:val="C494FE9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20E11E09"/>
    <w:multiLevelType w:val="hybridMultilevel"/>
    <w:tmpl w:val="CB2E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52CD3"/>
    <w:multiLevelType w:val="hybridMultilevel"/>
    <w:tmpl w:val="80EE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86A5F"/>
    <w:multiLevelType w:val="hybridMultilevel"/>
    <w:tmpl w:val="E9ECC5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B1675E0"/>
    <w:multiLevelType w:val="hybridMultilevel"/>
    <w:tmpl w:val="8D9869E4"/>
    <w:lvl w:ilvl="0" w:tplc="F53CB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97130"/>
    <w:multiLevelType w:val="hybridMultilevel"/>
    <w:tmpl w:val="0CEE7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611E11"/>
    <w:multiLevelType w:val="hybridMultilevel"/>
    <w:tmpl w:val="E7927428"/>
    <w:lvl w:ilvl="0" w:tplc="06DC67D8">
      <w:start w:val="1"/>
      <w:numFmt w:val="bullet"/>
      <w:lvlText w:val=""/>
      <w:lvlJc w:val="left"/>
      <w:pPr>
        <w:tabs>
          <w:tab w:val="num" w:pos="720"/>
        </w:tabs>
        <w:ind w:left="720" w:hanging="360"/>
      </w:pPr>
      <w:rPr>
        <w:rFonts w:ascii="Symbol" w:hAnsi="Symbol" w:hint="default"/>
        <w:color w:val="auto"/>
      </w:rPr>
    </w:lvl>
    <w:lvl w:ilvl="1" w:tplc="04180003">
      <w:start w:val="1"/>
      <w:numFmt w:val="bullet"/>
      <w:lvlText w:val=""/>
      <w:lvlJc w:val="left"/>
      <w:pPr>
        <w:tabs>
          <w:tab w:val="num" w:pos="1440"/>
        </w:tabs>
        <w:ind w:left="1440" w:hanging="360"/>
      </w:pPr>
      <w:rPr>
        <w:rFonts w:ascii="Wingdings" w:hAnsi="Wingdings" w:hint="default"/>
      </w:rPr>
    </w:lvl>
    <w:lvl w:ilvl="2" w:tplc="04180005">
      <w:start w:val="1"/>
      <w:numFmt w:val="upperLetter"/>
      <w:lvlText w:val="%3)"/>
      <w:lvlJc w:val="left"/>
      <w:pPr>
        <w:tabs>
          <w:tab w:val="num" w:pos="2340"/>
        </w:tabs>
        <w:ind w:left="2340" w:hanging="360"/>
      </w:pPr>
      <w:rPr>
        <w:rFonts w:hint="default"/>
        <w:b/>
        <w:u w:val="single"/>
      </w:rPr>
    </w:lvl>
    <w:lvl w:ilvl="3" w:tplc="04180001">
      <w:start w:val="2"/>
      <w:numFmt w:val="upperRoman"/>
      <w:lvlText w:val="%4."/>
      <w:lvlJc w:val="left"/>
      <w:pPr>
        <w:tabs>
          <w:tab w:val="num" w:pos="3240"/>
        </w:tabs>
        <w:ind w:left="3240" w:hanging="720"/>
      </w:pPr>
      <w:rPr>
        <w:rFonts w:hint="default"/>
      </w:r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9">
    <w:nsid w:val="7AE56E71"/>
    <w:multiLevelType w:val="hybridMultilevel"/>
    <w:tmpl w:val="8AB02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3"/>
  </w:num>
  <w:num w:numId="5">
    <w:abstractNumId w:val="6"/>
  </w:num>
  <w:num w:numId="6">
    <w:abstractNumId w:val="7"/>
  </w:num>
  <w:num w:numId="7">
    <w:abstractNumId w:val="4"/>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026AF1"/>
    <w:rsid w:val="00026AF1"/>
    <w:rsid w:val="00066F10"/>
    <w:rsid w:val="00082495"/>
    <w:rsid w:val="000B346D"/>
    <w:rsid w:val="000C219D"/>
    <w:rsid w:val="00101FAC"/>
    <w:rsid w:val="00110A96"/>
    <w:rsid w:val="001633B0"/>
    <w:rsid w:val="001A7858"/>
    <w:rsid w:val="001D15D6"/>
    <w:rsid w:val="0020492E"/>
    <w:rsid w:val="002228DA"/>
    <w:rsid w:val="0024118A"/>
    <w:rsid w:val="002422E4"/>
    <w:rsid w:val="002625AA"/>
    <w:rsid w:val="002A53AC"/>
    <w:rsid w:val="002C5440"/>
    <w:rsid w:val="00327DDA"/>
    <w:rsid w:val="0034007E"/>
    <w:rsid w:val="00364B10"/>
    <w:rsid w:val="00367D21"/>
    <w:rsid w:val="003C6919"/>
    <w:rsid w:val="003D07BB"/>
    <w:rsid w:val="003E5657"/>
    <w:rsid w:val="004430C4"/>
    <w:rsid w:val="004468D0"/>
    <w:rsid w:val="00490739"/>
    <w:rsid w:val="00506B24"/>
    <w:rsid w:val="0055091B"/>
    <w:rsid w:val="00562443"/>
    <w:rsid w:val="0059036C"/>
    <w:rsid w:val="005F4DD8"/>
    <w:rsid w:val="006C0FD2"/>
    <w:rsid w:val="006C6D73"/>
    <w:rsid w:val="007243A7"/>
    <w:rsid w:val="007332E6"/>
    <w:rsid w:val="00757312"/>
    <w:rsid w:val="0079032E"/>
    <w:rsid w:val="007A2BA0"/>
    <w:rsid w:val="00815821"/>
    <w:rsid w:val="00833E41"/>
    <w:rsid w:val="00834E27"/>
    <w:rsid w:val="00873E91"/>
    <w:rsid w:val="008A582D"/>
    <w:rsid w:val="008D606E"/>
    <w:rsid w:val="0090079E"/>
    <w:rsid w:val="00900842"/>
    <w:rsid w:val="009044D2"/>
    <w:rsid w:val="009568D6"/>
    <w:rsid w:val="0095720E"/>
    <w:rsid w:val="009965C3"/>
    <w:rsid w:val="009D5B6D"/>
    <w:rsid w:val="009F2F26"/>
    <w:rsid w:val="00A55323"/>
    <w:rsid w:val="00AD6EA8"/>
    <w:rsid w:val="00B13F1B"/>
    <w:rsid w:val="00B27E2D"/>
    <w:rsid w:val="00B83EF1"/>
    <w:rsid w:val="00B8436B"/>
    <w:rsid w:val="00BD7A7D"/>
    <w:rsid w:val="00BE2ECD"/>
    <w:rsid w:val="00C00420"/>
    <w:rsid w:val="00C330B1"/>
    <w:rsid w:val="00C53D87"/>
    <w:rsid w:val="00D22CA0"/>
    <w:rsid w:val="00D518C8"/>
    <w:rsid w:val="00D633A5"/>
    <w:rsid w:val="00D7453C"/>
    <w:rsid w:val="00D77329"/>
    <w:rsid w:val="00D93951"/>
    <w:rsid w:val="00DB37DF"/>
    <w:rsid w:val="00DD49F6"/>
    <w:rsid w:val="00DE3556"/>
    <w:rsid w:val="00E52B1D"/>
    <w:rsid w:val="00E56106"/>
    <w:rsid w:val="00ED00C4"/>
    <w:rsid w:val="00ED638A"/>
    <w:rsid w:val="00F66FFC"/>
    <w:rsid w:val="00F85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F1"/>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26AF1"/>
  </w:style>
  <w:style w:type="paragraph" w:styleId="ListParagraph">
    <w:name w:val="List Paragraph"/>
    <w:basedOn w:val="Normal"/>
    <w:uiPriority w:val="34"/>
    <w:qFormat/>
    <w:rsid w:val="001A7858"/>
    <w:pPr>
      <w:ind w:left="720"/>
      <w:contextualSpacing/>
    </w:pPr>
  </w:style>
  <w:style w:type="paragraph" w:customStyle="1" w:styleId="Normal1">
    <w:name w:val="Normal1"/>
    <w:basedOn w:val="Normal"/>
    <w:rsid w:val="00562443"/>
    <w:pPr>
      <w:spacing w:before="60" w:after="60"/>
      <w:jc w:val="both"/>
    </w:pPr>
    <w:rPr>
      <w:rFonts w:ascii="Trebuchet MS" w:hAnsi="Trebuchet MS"/>
      <w:sz w:val="20"/>
      <w:lang w:eastAsia="en-US"/>
    </w:rPr>
  </w:style>
  <w:style w:type="paragraph" w:styleId="BodyText">
    <w:name w:val="Body Text"/>
    <w:aliases w:val="block style,Body,Standard paragraph,b"/>
    <w:basedOn w:val="Normal"/>
    <w:link w:val="BodyTextChar1"/>
    <w:rsid w:val="00562443"/>
    <w:pPr>
      <w:spacing w:before="120" w:after="120"/>
    </w:pPr>
    <w:rPr>
      <w:rFonts w:ascii="Trebuchet MS" w:hAnsi="Trebuchet MS"/>
      <w:sz w:val="20"/>
      <w:lang w:eastAsia="en-US"/>
    </w:rPr>
  </w:style>
  <w:style w:type="character" w:customStyle="1" w:styleId="BodyTextChar">
    <w:name w:val="Body Text Char"/>
    <w:basedOn w:val="DefaultParagraphFont"/>
    <w:link w:val="BodyText"/>
    <w:uiPriority w:val="99"/>
    <w:semiHidden/>
    <w:rsid w:val="00562443"/>
    <w:rPr>
      <w:rFonts w:ascii="Times New Roman" w:eastAsia="Times New Roman" w:hAnsi="Times New Roman" w:cs="Times New Roman"/>
      <w:sz w:val="24"/>
      <w:szCs w:val="24"/>
      <w:lang w:eastAsia="ro-RO"/>
    </w:rPr>
  </w:style>
  <w:style w:type="character" w:customStyle="1" w:styleId="BodyTextChar1">
    <w:name w:val="Body Text Char1"/>
    <w:aliases w:val="block style Char,Body Char,Standard paragraph Char,b Char"/>
    <w:link w:val="BodyText"/>
    <w:locked/>
    <w:rsid w:val="00562443"/>
    <w:rPr>
      <w:rFonts w:ascii="Trebuchet MS" w:eastAsia="Times New Roman" w:hAnsi="Trebuchet MS" w:cs="Times New Roman"/>
      <w:sz w:val="20"/>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873E91"/>
    <w:rPr>
      <w:rFonts w:ascii="Trebuchet MS" w:hAnsi="Trebuchet MS"/>
      <w:sz w:val="16"/>
      <w:szCs w:val="20"/>
      <w:lang w:eastAsia="en-US"/>
    </w:rPr>
  </w:style>
  <w:style w:type="character" w:customStyle="1" w:styleId="FootnoteTextChar">
    <w:name w:val="Footnote Text Char"/>
    <w:basedOn w:val="DefaultParagraphFont"/>
    <w:link w:val="FootnoteText"/>
    <w:uiPriority w:val="99"/>
    <w:semiHidden/>
    <w:rsid w:val="00873E91"/>
    <w:rPr>
      <w:rFonts w:ascii="Times New Roman" w:eastAsia="Times New Roman" w:hAnsi="Times New Roman" w:cs="Times New Roman"/>
      <w:sz w:val="20"/>
      <w:szCs w:val="20"/>
      <w:lang w:eastAsia="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873E9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873E9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73E91"/>
    <w:pPr>
      <w:spacing w:after="160" w:line="240" w:lineRule="exact"/>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
    <w:uiPriority w:val="99"/>
    <w:semiHidden/>
    <w:unhideWhenUsed/>
    <w:rsid w:val="006C0FD2"/>
    <w:pPr>
      <w:tabs>
        <w:tab w:val="center" w:pos="4680"/>
        <w:tab w:val="right" w:pos="9360"/>
      </w:tabs>
    </w:pPr>
  </w:style>
  <w:style w:type="character" w:customStyle="1" w:styleId="HeaderChar">
    <w:name w:val="Header Char"/>
    <w:basedOn w:val="DefaultParagraphFont"/>
    <w:link w:val="Header"/>
    <w:uiPriority w:val="99"/>
    <w:semiHidden/>
    <w:rsid w:val="006C0FD2"/>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6C0FD2"/>
    <w:pPr>
      <w:tabs>
        <w:tab w:val="center" w:pos="4680"/>
        <w:tab w:val="right" w:pos="9360"/>
      </w:tabs>
    </w:pPr>
  </w:style>
  <w:style w:type="character" w:customStyle="1" w:styleId="FooterChar">
    <w:name w:val="Footer Char"/>
    <w:basedOn w:val="DefaultParagraphFont"/>
    <w:link w:val="Footer"/>
    <w:uiPriority w:val="99"/>
    <w:rsid w:val="006C0FD2"/>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4873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ageorgiu</dc:creator>
  <cp:keywords/>
  <dc:description/>
  <cp:lastModifiedBy>ageorgiu</cp:lastModifiedBy>
  <cp:revision>54</cp:revision>
  <cp:lastPrinted>2012-11-22T13:31:00Z</cp:lastPrinted>
  <dcterms:created xsi:type="dcterms:W3CDTF">2012-11-22T10:05:00Z</dcterms:created>
  <dcterms:modified xsi:type="dcterms:W3CDTF">2017-01-12T11:29:00Z</dcterms:modified>
</cp:coreProperties>
</file>