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FC" w:rsidRPr="00BE0EFA" w:rsidRDefault="003729FC" w:rsidP="003729FC">
      <w:pPr>
        <w:rPr>
          <w:b/>
          <w:u w:val="single"/>
        </w:rPr>
      </w:pPr>
      <w:r w:rsidRPr="00BE0EFA">
        <w:rPr>
          <w:b/>
        </w:rPr>
        <w:t xml:space="preserve">                    Anexa </w:t>
      </w:r>
      <w:r w:rsidR="00855141" w:rsidRPr="00BE0EFA">
        <w:rPr>
          <w:b/>
        </w:rPr>
        <w:t xml:space="preserve">1 </w:t>
      </w:r>
      <w:r w:rsidRPr="00BE0EFA">
        <w:rPr>
          <w:b/>
        </w:rPr>
        <w:t>la Hotărârea de Consiliu Local Timișoara  nr</w:t>
      </w:r>
      <w:r w:rsidRPr="00BE0EFA">
        <w:rPr>
          <w:b/>
          <w:u w:val="single"/>
        </w:rPr>
        <w:t xml:space="preserve">.      </w:t>
      </w:r>
      <w:r w:rsidRPr="00BE0EFA">
        <w:rPr>
          <w:b/>
          <w:u w:val="single"/>
        </w:rPr>
        <w:tab/>
        <w:t xml:space="preserve">       /       </w:t>
      </w:r>
      <w:r w:rsidRPr="00BE0EFA">
        <w:rPr>
          <w:b/>
          <w:u w:val="single"/>
        </w:rPr>
        <w:tab/>
        <w:t xml:space="preserve">  </w:t>
      </w:r>
    </w:p>
    <w:p w:rsidR="003729FC" w:rsidRPr="00BE0EFA" w:rsidRDefault="003729FC" w:rsidP="003729FC">
      <w:pPr>
        <w:jc w:val="both"/>
      </w:pPr>
    </w:p>
    <w:p w:rsidR="003729FC" w:rsidRPr="00BE0EFA" w:rsidRDefault="003729FC" w:rsidP="003729FC">
      <w:pPr>
        <w:jc w:val="both"/>
      </w:pPr>
    </w:p>
    <w:p w:rsidR="003729FC" w:rsidRPr="00BE0EFA" w:rsidRDefault="003729FC" w:rsidP="003729FC">
      <w:pPr>
        <w:jc w:val="both"/>
      </w:pPr>
    </w:p>
    <w:p w:rsidR="003729FC" w:rsidRPr="00BE0EFA" w:rsidRDefault="003729FC" w:rsidP="003729FC">
      <w:pPr>
        <w:tabs>
          <w:tab w:val="left" w:pos="180"/>
          <w:tab w:val="left" w:pos="2700"/>
        </w:tabs>
        <w:jc w:val="center"/>
        <w:outlineLvl w:val="0"/>
        <w:rPr>
          <w:b/>
          <w:sz w:val="28"/>
          <w:szCs w:val="28"/>
        </w:rPr>
      </w:pPr>
      <w:r w:rsidRPr="00BE0EFA">
        <w:rPr>
          <w:b/>
          <w:sz w:val="28"/>
          <w:szCs w:val="28"/>
        </w:rPr>
        <w:t>Descrierea sumară a investiției</w:t>
      </w:r>
    </w:p>
    <w:p w:rsidR="003729FC" w:rsidRPr="00BE0EFA" w:rsidRDefault="003729FC" w:rsidP="003729FC">
      <w:pPr>
        <w:jc w:val="center"/>
        <w:rPr>
          <w:b/>
        </w:rPr>
      </w:pPr>
    </w:p>
    <w:p w:rsidR="003729FC" w:rsidRPr="00BE0EFA" w:rsidRDefault="006B403B" w:rsidP="003729FC">
      <w:pPr>
        <w:ind w:left="1080"/>
        <w:rPr>
          <w:b/>
        </w:rPr>
      </w:pPr>
      <w:r w:rsidRPr="00BE0EFA">
        <w:t xml:space="preserve">          </w:t>
      </w:r>
    </w:p>
    <w:p w:rsidR="003729FC" w:rsidRPr="00BE0EFA" w:rsidRDefault="003729FC" w:rsidP="003729FC">
      <w:pPr>
        <w:tabs>
          <w:tab w:val="left" w:pos="180"/>
          <w:tab w:val="left" w:pos="2700"/>
        </w:tabs>
        <w:ind w:left="360"/>
        <w:jc w:val="both"/>
        <w:outlineLvl w:val="0"/>
        <w:rPr>
          <w:b/>
        </w:rPr>
      </w:pPr>
      <w:r w:rsidRPr="00BE0EFA">
        <w:t>1.</w:t>
      </w:r>
      <w:r w:rsidR="00443C2E" w:rsidRPr="00BE0EFA">
        <w:t xml:space="preserve"> </w:t>
      </w:r>
      <w:r w:rsidRPr="00BE0EFA">
        <w:t xml:space="preserve">DENUMIREA </w:t>
      </w:r>
      <w:r w:rsidR="00187808" w:rsidRPr="00BE0EFA">
        <w:t>PROIECTULUI</w:t>
      </w:r>
      <w:r w:rsidRPr="00BE0EFA">
        <w:t xml:space="preserve">: </w:t>
      </w:r>
      <w:r w:rsidR="00606750" w:rsidRPr="00BE0EFA">
        <w:rPr>
          <w:b/>
        </w:rPr>
        <w:t>Timișoara Capitală Europeană a Culturii : Memorialul Revoluției – decembrie 1989</w:t>
      </w:r>
    </w:p>
    <w:p w:rsidR="003729FC" w:rsidRPr="00BE0EFA" w:rsidRDefault="003729FC" w:rsidP="003729FC">
      <w:pPr>
        <w:rPr>
          <w:b/>
        </w:rPr>
      </w:pPr>
      <w:r w:rsidRPr="00BE0EFA">
        <w:rPr>
          <w:b/>
        </w:rPr>
        <w:t xml:space="preserve">       </w:t>
      </w:r>
    </w:p>
    <w:p w:rsidR="003729FC" w:rsidRPr="00BE0EFA" w:rsidRDefault="003729FC" w:rsidP="003729FC">
      <w:pPr>
        <w:numPr>
          <w:ilvl w:val="0"/>
          <w:numId w:val="32"/>
        </w:numPr>
        <w:rPr>
          <w:b/>
        </w:rPr>
      </w:pPr>
      <w:r w:rsidRPr="00BE0EFA">
        <w:t>AMPLASAMENT:</w:t>
      </w:r>
      <w:r w:rsidRPr="00BE0EFA">
        <w:rPr>
          <w:b/>
          <w:spacing w:val="-2"/>
        </w:rPr>
        <w:t xml:space="preserve"> Timi</w:t>
      </w:r>
      <w:r w:rsidR="00FE75ED" w:rsidRPr="00BE0EFA">
        <w:rPr>
          <w:b/>
          <w:spacing w:val="-2"/>
        </w:rPr>
        <w:t>ș</w:t>
      </w:r>
      <w:r w:rsidRPr="00BE0EFA">
        <w:rPr>
          <w:b/>
          <w:spacing w:val="-2"/>
        </w:rPr>
        <w:t xml:space="preserve">oara </w:t>
      </w:r>
    </w:p>
    <w:p w:rsidR="003729FC" w:rsidRPr="00BE0EFA" w:rsidRDefault="003729FC" w:rsidP="003729FC">
      <w:pPr>
        <w:rPr>
          <w:b/>
        </w:rPr>
      </w:pPr>
    </w:p>
    <w:p w:rsidR="003729FC" w:rsidRPr="00BE0EFA" w:rsidRDefault="003729FC" w:rsidP="003729FC">
      <w:pPr>
        <w:numPr>
          <w:ilvl w:val="0"/>
          <w:numId w:val="32"/>
        </w:numPr>
        <w:rPr>
          <w:b/>
        </w:rPr>
      </w:pPr>
      <w:r w:rsidRPr="00BE0EFA">
        <w:t xml:space="preserve">BENEFICIAR: </w:t>
      </w:r>
      <w:r w:rsidRPr="00BE0EFA">
        <w:rPr>
          <w:b/>
        </w:rPr>
        <w:t>Municipiul Timișoara</w:t>
      </w:r>
    </w:p>
    <w:p w:rsidR="006D460C" w:rsidRPr="00BE0EFA" w:rsidRDefault="006D460C" w:rsidP="006D460C">
      <w:pPr>
        <w:ind w:left="360"/>
      </w:pPr>
    </w:p>
    <w:p w:rsidR="003729FC" w:rsidRPr="00BE0EFA" w:rsidRDefault="00735059" w:rsidP="003729FC">
      <w:pPr>
        <w:numPr>
          <w:ilvl w:val="0"/>
          <w:numId w:val="33"/>
        </w:numPr>
        <w:rPr>
          <w:b/>
          <w:bCs/>
        </w:rPr>
      </w:pPr>
      <w:r w:rsidRPr="00BE0EFA">
        <w:rPr>
          <w:b/>
          <w:bCs/>
        </w:rPr>
        <w:t>N</w:t>
      </w:r>
      <w:r w:rsidR="003729FC" w:rsidRPr="00BE0EFA">
        <w:rPr>
          <w:b/>
          <w:bCs/>
        </w:rPr>
        <w:t>ecesitatea realizării obiectivului/proiectului de investiții</w:t>
      </w:r>
    </w:p>
    <w:p w:rsidR="003729FC" w:rsidRPr="00BE0EFA" w:rsidRDefault="003729FC" w:rsidP="003729FC">
      <w:pPr>
        <w:ind w:left="720"/>
        <w:rPr>
          <w:sz w:val="22"/>
          <w:szCs w:val="22"/>
        </w:rPr>
      </w:pPr>
    </w:p>
    <w:p w:rsidR="00606750" w:rsidRPr="00BE0EFA" w:rsidRDefault="002C1523" w:rsidP="00187808">
      <w:pPr>
        <w:pStyle w:val="ListParagraph"/>
        <w:ind w:left="0"/>
        <w:jc w:val="both"/>
        <w:rPr>
          <w:rFonts w:ascii="Times New Roman" w:hAnsi="Times New Roman"/>
          <w:noProof/>
          <w:lang w:val="ro-RO"/>
        </w:rPr>
      </w:pPr>
      <w:r w:rsidRPr="00BE0EFA">
        <w:rPr>
          <w:rFonts w:ascii="Times New Roman" w:eastAsia="Times New Roman" w:hAnsi="Times New Roman"/>
          <w:noProof/>
          <w:lang w:val="ro-RO"/>
        </w:rPr>
        <w:t>România este datoare cu recunoașterea dramelor provocate oamenilor și societății în întregul ei de regimurile totalitariste, cu precădere în contextul geopolitic actual.</w:t>
      </w:r>
      <w:r w:rsidRPr="00BE0EFA">
        <w:rPr>
          <w:sz w:val="24"/>
          <w:szCs w:val="24"/>
          <w:lang w:eastAsia="ro-RO"/>
        </w:rPr>
        <w:t xml:space="preserve"> </w:t>
      </w:r>
      <w:r w:rsidR="00606750" w:rsidRPr="00BE0EFA">
        <w:rPr>
          <w:rFonts w:ascii="Times New Roman" w:eastAsia="Times New Roman" w:hAnsi="Times New Roman"/>
          <w:noProof/>
          <w:lang w:val="ro-RO"/>
        </w:rPr>
        <w:t xml:space="preserve">Momentul Revoluției din </w:t>
      </w:r>
      <w:r w:rsidR="00187808" w:rsidRPr="00BE0EFA">
        <w:rPr>
          <w:rFonts w:ascii="Times New Roman" w:eastAsia="Times New Roman" w:hAnsi="Times New Roman"/>
          <w:noProof/>
          <w:lang w:val="ro-RO"/>
        </w:rPr>
        <w:t xml:space="preserve">decembrie </w:t>
      </w:r>
      <w:r w:rsidR="00606750" w:rsidRPr="00BE0EFA">
        <w:rPr>
          <w:rFonts w:ascii="Times New Roman" w:eastAsia="Times New Roman" w:hAnsi="Times New Roman"/>
          <w:noProof/>
          <w:lang w:val="ro-RO"/>
        </w:rPr>
        <w:t>1989 reprezintă un punct în istoria Municipiului Timișoara de o importanță deosebită pentru parcursul democratic și european atât al orașului, cât și al României. De-a lungul celor 32 de ani de democrație, identitatea orașului Timișoara, a fost strâns legată de succesiunea evenimentelor marcante din zilele Revoluției, evenimente a</w:t>
      </w:r>
      <w:r w:rsidR="003A62C7" w:rsidRPr="00BE0EFA">
        <w:rPr>
          <w:rFonts w:ascii="Times New Roman" w:eastAsia="Times New Roman" w:hAnsi="Times New Roman"/>
          <w:noProof/>
          <w:lang w:val="ro-RO"/>
        </w:rPr>
        <w:t>le</w:t>
      </w:r>
      <w:r w:rsidR="00606750" w:rsidRPr="00BE0EFA">
        <w:rPr>
          <w:rFonts w:ascii="Times New Roman" w:eastAsia="Times New Roman" w:hAnsi="Times New Roman"/>
          <w:noProof/>
          <w:lang w:val="ro-RO"/>
        </w:rPr>
        <w:t xml:space="preserve"> căror urme pot fi văzute și astăzi.</w:t>
      </w:r>
    </w:p>
    <w:p w:rsidR="00606750" w:rsidRPr="00BE0EFA" w:rsidRDefault="00606750" w:rsidP="00187808">
      <w:pPr>
        <w:pStyle w:val="ListParagraph"/>
        <w:ind w:left="0"/>
        <w:jc w:val="both"/>
        <w:rPr>
          <w:rFonts w:ascii="Times New Roman" w:eastAsia="Times New Roman" w:hAnsi="Times New Roman"/>
          <w:noProof/>
          <w:lang w:val="ro-RO"/>
        </w:rPr>
      </w:pPr>
    </w:p>
    <w:p w:rsidR="006D460C" w:rsidRPr="00BE0EFA" w:rsidRDefault="006D460C" w:rsidP="00187808">
      <w:pPr>
        <w:pStyle w:val="ListParagraph"/>
        <w:ind w:left="0"/>
        <w:jc w:val="both"/>
        <w:rPr>
          <w:rFonts w:ascii="Times New Roman" w:eastAsia="Times New Roman" w:hAnsi="Times New Roman"/>
          <w:noProof/>
          <w:lang w:val="ro-RO"/>
        </w:rPr>
      </w:pPr>
      <w:r w:rsidRPr="00BE0EFA">
        <w:rPr>
          <w:rFonts w:ascii="Times New Roman" w:eastAsia="Times New Roman" w:hAnsi="Times New Roman"/>
          <w:noProof/>
          <w:lang w:val="ro-RO"/>
        </w:rPr>
        <w:t xml:space="preserve">Memoria </w:t>
      </w:r>
      <w:r w:rsidR="003A62C7" w:rsidRPr="00BE0EFA">
        <w:rPr>
          <w:rFonts w:ascii="Times New Roman" w:eastAsia="Times New Roman" w:hAnsi="Times New Roman"/>
          <w:noProof/>
          <w:lang w:val="ro-RO"/>
        </w:rPr>
        <w:t>R</w:t>
      </w:r>
      <w:r w:rsidRPr="00BE0EFA">
        <w:rPr>
          <w:rFonts w:ascii="Times New Roman" w:eastAsia="Times New Roman" w:hAnsi="Times New Roman"/>
          <w:noProof/>
          <w:lang w:val="ro-RO"/>
        </w:rPr>
        <w:t xml:space="preserve">evoluției este reflectată în spațiul public doar prin monumente de for public amplasate punctual în zonele relevante pentru evenimentele din 1989. Valorile </w:t>
      </w:r>
      <w:r w:rsidR="003A62C7" w:rsidRPr="00BE0EFA">
        <w:rPr>
          <w:rFonts w:ascii="Times New Roman" w:eastAsia="Times New Roman" w:hAnsi="Times New Roman"/>
          <w:noProof/>
          <w:lang w:val="ro-RO"/>
        </w:rPr>
        <w:t>R</w:t>
      </w:r>
      <w:r w:rsidRPr="00BE0EFA">
        <w:rPr>
          <w:rFonts w:ascii="Times New Roman" w:eastAsia="Times New Roman" w:hAnsi="Times New Roman"/>
          <w:noProof/>
          <w:lang w:val="ro-RO"/>
        </w:rPr>
        <w:t xml:space="preserve">evoluției nu se reflectă în spațiul public dincolo de o comemorare prin memorie a evenimentelor, spațiile urbane aferente nu oferă o calitate urbană care să permită locuitorilor și vizitatorilor să parcurgă traseul pe jos sau cu bicicleta, să se poată opri în siguranță, să poată petrece timp în ele, să comunice și să se informeze despre Revoluția de la Timișoara din 1989. Infrastructura spațiului public din zonele marcante ale </w:t>
      </w:r>
      <w:r w:rsidR="003A62C7" w:rsidRPr="00BE0EFA">
        <w:rPr>
          <w:rFonts w:ascii="Times New Roman" w:eastAsia="Times New Roman" w:hAnsi="Times New Roman"/>
          <w:noProof/>
          <w:lang w:val="ro-RO"/>
        </w:rPr>
        <w:t>R</w:t>
      </w:r>
      <w:r w:rsidRPr="00BE0EFA">
        <w:rPr>
          <w:rFonts w:ascii="Times New Roman" w:eastAsia="Times New Roman" w:hAnsi="Times New Roman"/>
          <w:noProof/>
          <w:lang w:val="ro-RO"/>
        </w:rPr>
        <w:t xml:space="preserve">evoluției are nevoie de modernizare și de un mod de a marca evenimentele ca parte a experienței de zi cu zi a orașului, respectiv a capitalei culturale 2023. Spațiul public reprezintă memoria </w:t>
      </w:r>
      <w:r w:rsidR="003A62C7" w:rsidRPr="00BE0EFA">
        <w:rPr>
          <w:rFonts w:ascii="Times New Roman" w:eastAsia="Times New Roman" w:hAnsi="Times New Roman"/>
          <w:noProof/>
          <w:lang w:val="ro-RO"/>
        </w:rPr>
        <w:t>R</w:t>
      </w:r>
      <w:r w:rsidRPr="00BE0EFA">
        <w:rPr>
          <w:rFonts w:ascii="Times New Roman" w:eastAsia="Times New Roman" w:hAnsi="Times New Roman"/>
          <w:noProof/>
          <w:lang w:val="ro-RO"/>
        </w:rPr>
        <w:t>evoluției într-o manieră nesatisfăcătoare la ora actuală. Este necesară transformarea lui astfel încât devină un factor de identificare socială și culturală, pentru locuitori și vizitatori.</w:t>
      </w:r>
    </w:p>
    <w:p w:rsidR="00735059" w:rsidRPr="00BE0EFA" w:rsidRDefault="00735059" w:rsidP="00187808">
      <w:pPr>
        <w:pStyle w:val="ListParagraph"/>
        <w:ind w:left="0"/>
        <w:jc w:val="both"/>
        <w:rPr>
          <w:rFonts w:ascii="Times New Roman" w:eastAsia="Times New Roman" w:hAnsi="Times New Roman"/>
          <w:noProof/>
          <w:lang w:val="ro-RO"/>
        </w:rPr>
      </w:pPr>
    </w:p>
    <w:p w:rsidR="002708B2" w:rsidRPr="00BE0EFA" w:rsidRDefault="00735059" w:rsidP="00443C2E">
      <w:pPr>
        <w:numPr>
          <w:ilvl w:val="0"/>
          <w:numId w:val="33"/>
        </w:numPr>
        <w:rPr>
          <w:b/>
          <w:bCs/>
        </w:rPr>
      </w:pPr>
      <w:r w:rsidRPr="00BE0EFA">
        <w:rPr>
          <w:b/>
          <w:bCs/>
        </w:rPr>
        <w:t>Situația existentă</w:t>
      </w:r>
      <w:r w:rsidR="00443C2E" w:rsidRPr="00BE0EFA">
        <w:rPr>
          <w:b/>
          <w:bCs/>
        </w:rPr>
        <w:t xml:space="preserve"> în zonele de intervenție</w:t>
      </w:r>
    </w:p>
    <w:p w:rsidR="0026277A" w:rsidRPr="00BE0EFA" w:rsidRDefault="0026277A" w:rsidP="0026277A">
      <w:pPr>
        <w:rPr>
          <w:b/>
          <w:bCs/>
        </w:rPr>
      </w:pPr>
    </w:p>
    <w:p w:rsidR="0026277A" w:rsidRPr="00BE0EFA" w:rsidRDefault="0026277A" w:rsidP="0026277A">
      <w:pPr>
        <w:jc w:val="both"/>
        <w:rPr>
          <w:noProof/>
          <w:sz w:val="22"/>
          <w:szCs w:val="22"/>
        </w:rPr>
      </w:pPr>
      <w:r w:rsidRPr="00BE0EFA">
        <w:rPr>
          <w:noProof/>
          <w:sz w:val="22"/>
          <w:szCs w:val="22"/>
        </w:rPr>
        <w:t>Investiția, propusă a se realiza prin implementarea proiectului „Timișoara Capitală Europeană a Culturii: Memorialul Revoluției-Decembrie 1989”, va cuprinde  următoarele zone de intervenție: Zona Piața Maria, Podul Traian, Piața Victoriei, Piața Libertății, Piața Sfântul Gheorghe, Zona Consiliul Județean Timiș, Zona Băile Neptun, Zona Cimitirul Eroilor, Zona Calea Martirilor.</w:t>
      </w:r>
    </w:p>
    <w:p w:rsidR="002708B2" w:rsidRPr="00BE0EFA" w:rsidRDefault="00735059" w:rsidP="002708B2">
      <w:pPr>
        <w:pStyle w:val="ListParagraph"/>
        <w:spacing w:before="240"/>
        <w:ind w:left="0"/>
        <w:jc w:val="both"/>
        <w:rPr>
          <w:rFonts w:ascii="Times New Roman" w:eastAsia="Times New Roman" w:hAnsi="Times New Roman"/>
          <w:noProof/>
          <w:lang w:val="ro-RO"/>
        </w:rPr>
      </w:pPr>
      <w:r w:rsidRPr="00BE0EFA">
        <w:rPr>
          <w:rFonts w:ascii="Times New Roman" w:hAnsi="Times New Roman"/>
          <w:b/>
          <w:noProof/>
          <w:lang w:val="ro-RO"/>
        </w:rPr>
        <w:t>Zona Piața Maria</w:t>
      </w:r>
    </w:p>
    <w:p w:rsidR="00443C2E" w:rsidRPr="00BE0EFA" w:rsidRDefault="00735059" w:rsidP="00443C2E">
      <w:pPr>
        <w:pStyle w:val="ListParagraph"/>
        <w:spacing w:before="240"/>
        <w:ind w:left="0"/>
        <w:jc w:val="both"/>
        <w:rPr>
          <w:rFonts w:ascii="Times New Roman" w:eastAsia="Times New Roman" w:hAnsi="Times New Roman"/>
          <w:noProof/>
          <w:lang w:val="ro-RO"/>
        </w:rPr>
      </w:pPr>
      <w:r w:rsidRPr="00BE0EFA">
        <w:rPr>
          <w:rFonts w:ascii="Times New Roman" w:eastAsia="Times New Roman" w:hAnsi="Times New Roman"/>
          <w:noProof/>
          <w:lang w:val="ro-RO"/>
        </w:rPr>
        <w:t>Zona de intervenție cuprinde piața Sfânta Maria și parte din strada Timotei Cipariu, locul unde au avut loc primele manifestări din 1989, marcând astfel începutul Revoluției din 1989. În Piața Maria se află statuia Sf. Maria unde este și un mic scuar, un monument de for public si stație de transport public.</w:t>
      </w:r>
      <w:r w:rsidR="002708B2" w:rsidRPr="00BE0EFA">
        <w:rPr>
          <w:rFonts w:ascii="Times New Roman" w:eastAsia="Times New Roman" w:hAnsi="Times New Roman"/>
          <w:noProof/>
          <w:lang w:val="ro-RO"/>
        </w:rPr>
        <w:t xml:space="preserve"> </w:t>
      </w:r>
    </w:p>
    <w:p w:rsidR="00443C2E" w:rsidRPr="00BE0EFA" w:rsidRDefault="00443C2E" w:rsidP="00443C2E">
      <w:pPr>
        <w:pStyle w:val="ListParagraph"/>
        <w:spacing w:before="240"/>
        <w:ind w:left="0"/>
        <w:jc w:val="both"/>
        <w:rPr>
          <w:rFonts w:ascii="Times New Roman" w:eastAsia="Times New Roman" w:hAnsi="Times New Roman"/>
          <w:noProof/>
          <w:lang w:val="ro-RO"/>
        </w:rPr>
      </w:pPr>
    </w:p>
    <w:p w:rsidR="00735059" w:rsidRPr="00BE0EFA" w:rsidRDefault="00735059" w:rsidP="00443C2E">
      <w:pPr>
        <w:pStyle w:val="ListParagraph"/>
        <w:spacing w:before="240"/>
        <w:ind w:left="0"/>
        <w:jc w:val="both"/>
        <w:rPr>
          <w:rFonts w:ascii="Times New Roman" w:hAnsi="Times New Roman"/>
          <w:b/>
          <w:noProof/>
          <w:lang w:val="ro-RO"/>
        </w:rPr>
      </w:pPr>
      <w:r w:rsidRPr="00BE0EFA">
        <w:rPr>
          <w:rFonts w:ascii="Times New Roman" w:hAnsi="Times New Roman"/>
          <w:b/>
          <w:noProof/>
          <w:lang w:val="ro-RO"/>
        </w:rPr>
        <w:t>Podul Traian</w:t>
      </w:r>
    </w:p>
    <w:p w:rsidR="002C1523" w:rsidRPr="00BE0EFA" w:rsidRDefault="002C1523" w:rsidP="00443C2E">
      <w:pPr>
        <w:pStyle w:val="ListParagraph"/>
        <w:spacing w:before="240"/>
        <w:ind w:left="0"/>
        <w:jc w:val="both"/>
        <w:rPr>
          <w:rFonts w:ascii="Times New Roman" w:eastAsia="Times New Roman" w:hAnsi="Times New Roman"/>
          <w:noProof/>
          <w:lang w:val="ro-RO"/>
        </w:rPr>
      </w:pPr>
    </w:p>
    <w:p w:rsidR="00735059" w:rsidRPr="00BE0EFA" w:rsidRDefault="00735059" w:rsidP="00735059">
      <w:pPr>
        <w:pStyle w:val="ListParagraph"/>
        <w:keepNext/>
        <w:ind w:left="0"/>
        <w:jc w:val="both"/>
        <w:rPr>
          <w:rFonts w:ascii="Times New Roman" w:eastAsia="Times New Roman" w:hAnsi="Times New Roman"/>
          <w:noProof/>
          <w:lang w:val="ro-RO"/>
        </w:rPr>
      </w:pPr>
      <w:r w:rsidRPr="00BE0EFA">
        <w:rPr>
          <w:rFonts w:ascii="Times New Roman" w:eastAsia="Times New Roman" w:hAnsi="Times New Roman"/>
          <w:noProof/>
          <w:lang w:val="ro-RO"/>
        </w:rPr>
        <w:t xml:space="preserve">Zona de intervenție se află în apropierea malului canalului Bega. Acesta este amenajat pentru acces velo și pietonal, iar din loc în loc cu stații pentru mijloacele de transport în comun pe apă. Podul face trecerea dinspre centru spre zona Maria. Zona se află la intersecția podului cu splaiul Tudor Vladimirescu. Există </w:t>
      </w:r>
      <w:r w:rsidRPr="00BE0EFA">
        <w:rPr>
          <w:rFonts w:ascii="Times New Roman" w:eastAsia="Times New Roman" w:hAnsi="Times New Roman"/>
          <w:noProof/>
          <w:lang w:val="ro-RO"/>
        </w:rPr>
        <w:lastRenderedPageBreak/>
        <w:t>o prezență puternică a traficului auto. Zona de intervenție este o zonă pietonală folosită pentru așteptare și traversare. Există și un panou informativ pentru anunțuri despre evenimente.</w:t>
      </w:r>
    </w:p>
    <w:p w:rsidR="00735059" w:rsidRPr="00BE0EFA" w:rsidRDefault="00735059" w:rsidP="00735059">
      <w:pPr>
        <w:keepNext/>
        <w:widowControl w:val="0"/>
        <w:spacing w:before="240"/>
        <w:ind w:left="710" w:hanging="710"/>
        <w:jc w:val="both"/>
        <w:rPr>
          <w:b/>
          <w:noProof/>
          <w:sz w:val="22"/>
          <w:szCs w:val="22"/>
        </w:rPr>
      </w:pPr>
      <w:r w:rsidRPr="00BE0EFA">
        <w:rPr>
          <w:b/>
          <w:noProof/>
          <w:sz w:val="22"/>
          <w:szCs w:val="22"/>
        </w:rPr>
        <w:t>Piața Victoriei</w:t>
      </w:r>
    </w:p>
    <w:p w:rsidR="00735059" w:rsidRPr="00BE0EFA" w:rsidRDefault="00735059" w:rsidP="00735059">
      <w:pPr>
        <w:keepNext/>
        <w:widowControl w:val="0"/>
        <w:jc w:val="both"/>
        <w:rPr>
          <w:noProof/>
          <w:sz w:val="22"/>
          <w:szCs w:val="22"/>
        </w:rPr>
      </w:pPr>
      <w:r w:rsidRPr="00BE0EFA">
        <w:rPr>
          <w:noProof/>
          <w:sz w:val="22"/>
          <w:szCs w:val="22"/>
        </w:rPr>
        <w:t>Piața Victoriei este probabil punctul principal al traseului, locul unde au avut loc mari adunări, proteste și manifestații în decembrie 1989. Este și central civic al orașului, un amplu scuar care are într-un capăt Opera Națională, iar în celălalt Catedrala Mitropolitană.</w:t>
      </w:r>
    </w:p>
    <w:p w:rsidR="00735059" w:rsidRPr="00BE0EFA" w:rsidRDefault="00735059" w:rsidP="00735059">
      <w:pPr>
        <w:keepNext/>
        <w:widowControl w:val="0"/>
        <w:spacing w:before="240"/>
        <w:jc w:val="both"/>
        <w:rPr>
          <w:b/>
          <w:noProof/>
          <w:sz w:val="22"/>
          <w:szCs w:val="22"/>
        </w:rPr>
      </w:pPr>
      <w:r w:rsidRPr="00BE0EFA">
        <w:rPr>
          <w:b/>
          <w:noProof/>
          <w:sz w:val="22"/>
          <w:szCs w:val="22"/>
        </w:rPr>
        <w:t>Piața Libertății</w:t>
      </w:r>
    </w:p>
    <w:p w:rsidR="00735059" w:rsidRPr="00BE0EFA" w:rsidRDefault="00735059" w:rsidP="00735059">
      <w:pPr>
        <w:keepNext/>
        <w:widowControl w:val="0"/>
        <w:jc w:val="both"/>
        <w:rPr>
          <w:noProof/>
          <w:sz w:val="22"/>
          <w:szCs w:val="22"/>
        </w:rPr>
      </w:pPr>
      <w:r w:rsidRPr="00BE0EFA">
        <w:rPr>
          <w:noProof/>
          <w:sz w:val="22"/>
          <w:szCs w:val="22"/>
        </w:rPr>
        <w:t xml:space="preserve">Piața Libertății este o piață în principal minerală, fără vegetație, care recent a făcut parte dintr-un amplu proiect de reabilitare a spațiilor publice din Cartierul Cetate. Este folosită în mod permanent </w:t>
      </w:r>
      <w:r w:rsidR="00A31427">
        <w:rPr>
          <w:noProof/>
          <w:sz w:val="22"/>
          <w:szCs w:val="22"/>
        </w:rPr>
        <w:t>mai mult ca zonă de tranzit î</w:t>
      </w:r>
      <w:r w:rsidRPr="00BE0EFA">
        <w:rPr>
          <w:noProof/>
          <w:sz w:val="22"/>
          <w:szCs w:val="22"/>
        </w:rPr>
        <w:t>ntre piața Victoriei și piața Unirii, iar temporar este folosită pentru evenimente.</w:t>
      </w:r>
    </w:p>
    <w:p w:rsidR="00735059" w:rsidRPr="00BE0EFA" w:rsidRDefault="00735059" w:rsidP="00735059">
      <w:pPr>
        <w:keepNext/>
        <w:widowControl w:val="0"/>
        <w:spacing w:before="240"/>
        <w:jc w:val="both"/>
        <w:rPr>
          <w:b/>
          <w:noProof/>
          <w:sz w:val="22"/>
          <w:szCs w:val="22"/>
        </w:rPr>
      </w:pPr>
      <w:r w:rsidRPr="00BE0EFA">
        <w:rPr>
          <w:b/>
          <w:noProof/>
          <w:sz w:val="22"/>
          <w:szCs w:val="22"/>
        </w:rPr>
        <w:t>Piața Sfântul Gheorghe</w:t>
      </w:r>
    </w:p>
    <w:p w:rsidR="00735059" w:rsidRPr="00BE0EFA" w:rsidRDefault="00735059" w:rsidP="00735059">
      <w:pPr>
        <w:keepNext/>
        <w:widowControl w:val="0"/>
        <w:jc w:val="both"/>
        <w:rPr>
          <w:noProof/>
          <w:sz w:val="22"/>
          <w:szCs w:val="22"/>
        </w:rPr>
      </w:pPr>
      <w:r w:rsidRPr="00BE0EFA">
        <w:rPr>
          <w:noProof/>
          <w:sz w:val="22"/>
          <w:szCs w:val="22"/>
        </w:rPr>
        <w:t>Piața Sfântul Gheorghe este o piață minerală scufundată, fără vegetație, care recent a făcut parte dintr-un amplu proiect de reabilitare a spațiilor publice din Cartierul Cetate. Este folosită cu succes pentru evenimente culturale tip spectacol, teatru, dans, etc. fâcându-se uz de topografia scuarului.</w:t>
      </w:r>
    </w:p>
    <w:p w:rsidR="00735059" w:rsidRPr="00BE0EFA" w:rsidRDefault="00735059" w:rsidP="00735059">
      <w:pPr>
        <w:keepNext/>
        <w:widowControl w:val="0"/>
        <w:spacing w:before="240"/>
        <w:jc w:val="both"/>
        <w:rPr>
          <w:b/>
          <w:noProof/>
          <w:sz w:val="22"/>
          <w:szCs w:val="22"/>
        </w:rPr>
      </w:pPr>
      <w:r w:rsidRPr="00BE0EFA">
        <w:rPr>
          <w:b/>
          <w:noProof/>
          <w:sz w:val="22"/>
          <w:szCs w:val="22"/>
        </w:rPr>
        <w:t>Zona Consiliul Județean Timiș</w:t>
      </w:r>
    </w:p>
    <w:p w:rsidR="00735059" w:rsidRPr="00BE0EFA" w:rsidRDefault="00735059" w:rsidP="00735059">
      <w:pPr>
        <w:keepNext/>
        <w:widowControl w:val="0"/>
        <w:jc w:val="both"/>
        <w:rPr>
          <w:noProof/>
          <w:sz w:val="22"/>
          <w:szCs w:val="22"/>
        </w:rPr>
      </w:pPr>
      <w:r w:rsidRPr="00BE0EFA">
        <w:rPr>
          <w:noProof/>
          <w:sz w:val="22"/>
          <w:szCs w:val="22"/>
        </w:rPr>
        <w:t>Caracter general urban, situată pe o arteră de importanță majoră cu un profil transversal variat. Caracterul este accentuat de prezența importantă a unui aliniament de arbori ce delimitează zona de linii de tramvai de zona carosabilă și pe acesta de trotuar. Cladirea are o arhitectură neo-clasică, are prezență impunătoare prin coloanele ce definesc fațada principală.</w:t>
      </w:r>
    </w:p>
    <w:p w:rsidR="00735059" w:rsidRPr="00BE0EFA" w:rsidRDefault="00735059" w:rsidP="00735059">
      <w:pPr>
        <w:keepNext/>
        <w:widowControl w:val="0"/>
        <w:spacing w:before="240"/>
        <w:jc w:val="both"/>
        <w:rPr>
          <w:b/>
          <w:noProof/>
          <w:sz w:val="22"/>
          <w:szCs w:val="22"/>
        </w:rPr>
      </w:pPr>
      <w:r w:rsidRPr="00BE0EFA">
        <w:rPr>
          <w:b/>
          <w:noProof/>
          <w:sz w:val="22"/>
          <w:szCs w:val="22"/>
        </w:rPr>
        <w:t>Zona Băile Neptun</w:t>
      </w:r>
    </w:p>
    <w:p w:rsidR="00735059" w:rsidRPr="00BE0EFA" w:rsidRDefault="00735059" w:rsidP="00735059">
      <w:pPr>
        <w:keepNext/>
        <w:widowControl w:val="0"/>
        <w:jc w:val="both"/>
        <w:rPr>
          <w:noProof/>
          <w:sz w:val="22"/>
          <w:szCs w:val="22"/>
        </w:rPr>
      </w:pPr>
      <w:r w:rsidRPr="00BE0EFA">
        <w:rPr>
          <w:noProof/>
          <w:sz w:val="22"/>
          <w:szCs w:val="22"/>
        </w:rPr>
        <w:t>Zona de intervenție este la intersecția unuia dintre cele mai importante bulevarde din Timișoara, Bd-ul.3 August și splaiul Nistrului tangent cu canalul Bega. Artere lângă cel mai vechi parc al Timișoarei. Acesta un punct important de socializare pentru diferite comunități de la copiii care merg la școală în zonă, la locuitorii din apropiere, persoane de toate vârstele.</w:t>
      </w:r>
    </w:p>
    <w:p w:rsidR="00735059" w:rsidRPr="00BE0EFA" w:rsidRDefault="00735059" w:rsidP="00735059">
      <w:pPr>
        <w:keepNext/>
        <w:widowControl w:val="0"/>
        <w:spacing w:before="240"/>
        <w:jc w:val="both"/>
        <w:rPr>
          <w:b/>
          <w:noProof/>
          <w:sz w:val="22"/>
          <w:szCs w:val="22"/>
        </w:rPr>
      </w:pPr>
      <w:r w:rsidRPr="00BE0EFA">
        <w:rPr>
          <w:b/>
          <w:noProof/>
          <w:sz w:val="22"/>
          <w:szCs w:val="22"/>
        </w:rPr>
        <w:t>Zona Cimitirul Eroilor</w:t>
      </w:r>
    </w:p>
    <w:p w:rsidR="00735059" w:rsidRPr="00BE0EFA" w:rsidRDefault="00735059" w:rsidP="00735059">
      <w:pPr>
        <w:keepNext/>
        <w:widowControl w:val="0"/>
        <w:jc w:val="both"/>
        <w:rPr>
          <w:noProof/>
          <w:sz w:val="22"/>
          <w:szCs w:val="22"/>
        </w:rPr>
      </w:pPr>
      <w:r w:rsidRPr="00BE0EFA">
        <w:rPr>
          <w:noProof/>
          <w:sz w:val="22"/>
          <w:szCs w:val="22"/>
        </w:rPr>
        <w:t>Zona de intervenție se referă la spațiul din fața intrării în cimitir, în cadrul profilului stradal și după limita cimitirului la locația monumentului Eroilor. Este o zonă mixtă cu o scenografie complexă și în care se simte prezența celor doi actori principali – mall-ul și cimitirul.</w:t>
      </w:r>
    </w:p>
    <w:p w:rsidR="00735059" w:rsidRPr="00BE0EFA" w:rsidRDefault="00735059" w:rsidP="00735059">
      <w:pPr>
        <w:keepNext/>
        <w:widowControl w:val="0"/>
        <w:spacing w:before="240"/>
        <w:jc w:val="both"/>
        <w:rPr>
          <w:b/>
          <w:noProof/>
          <w:sz w:val="22"/>
          <w:szCs w:val="22"/>
        </w:rPr>
      </w:pPr>
      <w:r w:rsidRPr="00BE0EFA">
        <w:rPr>
          <w:b/>
          <w:noProof/>
          <w:sz w:val="22"/>
          <w:szCs w:val="22"/>
        </w:rPr>
        <w:t>Zona Calea Martirilor</w:t>
      </w:r>
    </w:p>
    <w:p w:rsidR="003729FC" w:rsidRPr="00BE0EFA" w:rsidRDefault="00735059" w:rsidP="00735059">
      <w:pPr>
        <w:pStyle w:val="ListParagraph"/>
        <w:ind w:left="0"/>
        <w:jc w:val="both"/>
        <w:rPr>
          <w:rFonts w:ascii="Times New Roman" w:eastAsia="Times New Roman" w:hAnsi="Times New Roman"/>
          <w:noProof/>
          <w:lang w:val="ro-RO"/>
        </w:rPr>
      </w:pPr>
      <w:r w:rsidRPr="00BE0EFA">
        <w:rPr>
          <w:rFonts w:ascii="Times New Roman" w:hAnsi="Times New Roman"/>
          <w:noProof/>
          <w:lang w:val="ro-RO"/>
        </w:rPr>
        <w:t>Zona de intervenție se află la intersecția a două artere majore de circulație și în mijlocul unui cartier cu locuințe colective construite în anii ’80. Este o zonă foarte activă și dinamică, cu o densitate mare a populației și  trafic intens, fiind și una dintre principalele ieșiri din oraș.</w:t>
      </w:r>
      <w:r w:rsidRPr="00BE0EFA">
        <w:rPr>
          <w:rFonts w:ascii="Times New Roman" w:hAnsi="Times New Roman"/>
          <w:b/>
          <w:bCs/>
          <w:lang w:val="ro-RO"/>
        </w:rPr>
        <w:t xml:space="preserve"> </w:t>
      </w:r>
    </w:p>
    <w:p w:rsidR="003729FC" w:rsidRPr="00BE0EFA" w:rsidRDefault="00735059" w:rsidP="00735059">
      <w:pPr>
        <w:numPr>
          <w:ilvl w:val="0"/>
          <w:numId w:val="33"/>
        </w:numPr>
        <w:rPr>
          <w:b/>
          <w:bCs/>
        </w:rPr>
      </w:pPr>
      <w:r w:rsidRPr="00BE0EFA">
        <w:rPr>
          <w:b/>
          <w:bCs/>
        </w:rPr>
        <w:t xml:space="preserve">Caracteristicile principale ale situației propuse </w:t>
      </w:r>
    </w:p>
    <w:p w:rsidR="0026277A" w:rsidRPr="00BE0EFA" w:rsidRDefault="0026277A" w:rsidP="003A62C7">
      <w:pPr>
        <w:pStyle w:val="ListParagraph"/>
        <w:ind w:left="0"/>
        <w:jc w:val="both"/>
        <w:rPr>
          <w:rFonts w:ascii="Times New Roman" w:eastAsia="Times New Roman" w:hAnsi="Times New Roman"/>
          <w:noProof/>
          <w:lang w:val="ro-RO"/>
        </w:rPr>
      </w:pPr>
    </w:p>
    <w:p w:rsidR="003A62C7" w:rsidRPr="00BE0EFA" w:rsidRDefault="003A62C7" w:rsidP="003A62C7">
      <w:pPr>
        <w:pStyle w:val="ListParagraph"/>
        <w:ind w:left="0"/>
        <w:jc w:val="both"/>
        <w:rPr>
          <w:rFonts w:ascii="Times New Roman" w:eastAsia="Times New Roman" w:hAnsi="Times New Roman"/>
          <w:noProof/>
          <w:lang w:val="ro-RO"/>
        </w:rPr>
      </w:pPr>
      <w:r w:rsidRPr="00BE0EFA">
        <w:rPr>
          <w:rFonts w:ascii="Times New Roman" w:eastAsia="Times New Roman" w:hAnsi="Times New Roman"/>
          <w:noProof/>
          <w:lang w:val="ro-RO"/>
        </w:rPr>
        <w:t xml:space="preserve">Se va creiona un traseu al Revoluției din 1989 care are ca scop regândirea modului în care sunt reflectate evenimenele în spațiul public. Acest traseu va fi valorificat prin reamenajarea spațiilor publice, a locurilor </w:t>
      </w:r>
      <w:r w:rsidRPr="00BE0EFA">
        <w:rPr>
          <w:rFonts w:ascii="Times New Roman" w:eastAsia="Times New Roman" w:hAnsi="Times New Roman"/>
          <w:bCs/>
          <w:noProof/>
          <w:lang w:val="ro-RO"/>
        </w:rPr>
        <w:t>„</w:t>
      </w:r>
      <w:r w:rsidRPr="00BE0EFA">
        <w:rPr>
          <w:rFonts w:ascii="Times New Roman" w:eastAsia="Times New Roman" w:hAnsi="Times New Roman"/>
          <w:noProof/>
          <w:lang w:val="ro-RO"/>
        </w:rPr>
        <w:t>fierbinţi</w:t>
      </w:r>
      <w:r w:rsidRPr="00BE0EFA">
        <w:rPr>
          <w:rFonts w:ascii="Times New Roman" w:eastAsia="Times New Roman" w:hAnsi="Times New Roman"/>
          <w:bCs/>
          <w:noProof/>
          <w:lang w:val="ro-RO"/>
        </w:rPr>
        <w:t>”</w:t>
      </w:r>
      <w:r w:rsidRPr="00BE0EFA">
        <w:rPr>
          <w:rFonts w:ascii="Times New Roman" w:eastAsia="Times New Roman" w:hAnsi="Times New Roman"/>
          <w:noProof/>
          <w:lang w:val="ro-RO"/>
        </w:rPr>
        <w:t xml:space="preserve"> ale acelor zile din decembrie 1989: Piața Maria, Podul Maria, Piața Victoriei, Piața Sf.Gheorghe, Opera (Palatul Culturii), Piața Libertății, fostul sediu județean al P.C.R. (actuala prefectură și Consiliul Județean Timiș), Podul Decebal, „Complexul Memorial” din Cimitirul Eroilor din Calea Lipovei și Calea Martirilor.</w:t>
      </w:r>
    </w:p>
    <w:p w:rsidR="009F5F35" w:rsidRPr="00BE0EFA" w:rsidRDefault="009F5F35" w:rsidP="009F5F35">
      <w:pPr>
        <w:jc w:val="both"/>
        <w:rPr>
          <w:sz w:val="22"/>
          <w:szCs w:val="22"/>
        </w:rPr>
      </w:pPr>
      <w:r w:rsidRPr="00BE0EFA">
        <w:rPr>
          <w:sz w:val="22"/>
          <w:szCs w:val="22"/>
        </w:rPr>
        <w:t xml:space="preserve">Proiectul are în vedere intervenții punctuale pe domeniului public al Municipiului Timișoara care împreună formează </w:t>
      </w:r>
      <w:r w:rsidRPr="00BE0EFA">
        <w:rPr>
          <w:i/>
          <w:iCs/>
          <w:sz w:val="22"/>
          <w:szCs w:val="22"/>
        </w:rPr>
        <w:t xml:space="preserve">Memorialul (Traseul) Revoluției din </w:t>
      </w:r>
      <w:r w:rsidR="00264BB8">
        <w:rPr>
          <w:i/>
          <w:iCs/>
          <w:sz w:val="22"/>
          <w:szCs w:val="22"/>
        </w:rPr>
        <w:t xml:space="preserve">decembrie </w:t>
      </w:r>
      <w:r w:rsidRPr="00BE0EFA">
        <w:rPr>
          <w:i/>
          <w:iCs/>
          <w:sz w:val="22"/>
          <w:szCs w:val="22"/>
        </w:rPr>
        <w:t>1989</w:t>
      </w:r>
      <w:r w:rsidRPr="00BE0EFA">
        <w:rPr>
          <w:sz w:val="22"/>
          <w:szCs w:val="22"/>
        </w:rPr>
        <w:t>. Acesta va avea în vedere accesibilitatea diferitelor grupe țintă, fiecare punct având o încărcătură de cunoaștere specifică care va fi redată pe mai multe planuri prin intervențiile propuse astfel încât aceasta să fie transmisă ușor tuturor.</w:t>
      </w:r>
    </w:p>
    <w:p w:rsidR="009F5F35" w:rsidRPr="00BE0EFA" w:rsidRDefault="009F5F35" w:rsidP="009F5F35">
      <w:pPr>
        <w:pStyle w:val="ListParagraph"/>
        <w:ind w:left="0"/>
        <w:jc w:val="both"/>
        <w:rPr>
          <w:rFonts w:ascii="Times New Roman" w:eastAsia="Times New Roman" w:hAnsi="Times New Roman"/>
          <w:noProof/>
          <w:lang w:val="ro-RO"/>
        </w:rPr>
      </w:pPr>
      <w:r w:rsidRPr="00BE0EFA">
        <w:rPr>
          <w:rFonts w:ascii="Times New Roman" w:hAnsi="Times New Roman"/>
          <w:lang w:val="ro-RO"/>
        </w:rPr>
        <w:t>Proiectul va identifica soluţii de amenajare arhitecturală şi peisageră integrate, deduse din înțelegerea fiecărei zone de intervenții în cauză, a obiectivelor stabilite la nivel strategic de Municipiul Timișoara şi scenarii de best practice din zona spaţiului european.</w:t>
      </w:r>
    </w:p>
    <w:p w:rsidR="00735059" w:rsidRPr="00BE0EFA" w:rsidRDefault="00735059" w:rsidP="00735059">
      <w:pPr>
        <w:pStyle w:val="ListParagraph"/>
        <w:ind w:left="0"/>
        <w:jc w:val="both"/>
        <w:rPr>
          <w:rFonts w:ascii="Times New Roman" w:eastAsia="Times New Roman" w:hAnsi="Times New Roman"/>
          <w:noProof/>
          <w:lang w:val="ro-RO"/>
        </w:rPr>
      </w:pPr>
      <w:r w:rsidRPr="00BE0EFA">
        <w:rPr>
          <w:rFonts w:ascii="Times New Roman" w:eastAsia="Times New Roman" w:hAnsi="Times New Roman"/>
          <w:noProof/>
          <w:lang w:val="ro-RO"/>
        </w:rPr>
        <w:lastRenderedPageBreak/>
        <w:t xml:space="preserve">Scopul final este de a crea o experiență comemorativă și participativă directă în spațiul public, care aduce evenimentele din </w:t>
      </w:r>
      <w:r w:rsidR="003A62C7" w:rsidRPr="00BE0EFA">
        <w:rPr>
          <w:rFonts w:ascii="Times New Roman" w:eastAsia="Times New Roman" w:hAnsi="Times New Roman"/>
          <w:noProof/>
          <w:lang w:val="ro-RO"/>
        </w:rPr>
        <w:t>d</w:t>
      </w:r>
      <w:r w:rsidRPr="00BE0EFA">
        <w:rPr>
          <w:rFonts w:ascii="Times New Roman" w:eastAsia="Times New Roman" w:hAnsi="Times New Roman"/>
          <w:noProof/>
          <w:lang w:val="ro-RO"/>
        </w:rPr>
        <w:t>ecembrie 1989 în prezent utilizând o varietate de mijloace și punându-le în contextul de astăzi.</w:t>
      </w:r>
    </w:p>
    <w:p w:rsidR="00735059" w:rsidRPr="00BE0EFA" w:rsidRDefault="00735059" w:rsidP="00735059">
      <w:pPr>
        <w:pStyle w:val="ListParagraph"/>
        <w:ind w:left="0"/>
        <w:jc w:val="both"/>
        <w:rPr>
          <w:rFonts w:ascii="Times New Roman" w:eastAsia="Times New Roman" w:hAnsi="Times New Roman"/>
          <w:noProof/>
          <w:lang w:val="ro-RO"/>
        </w:rPr>
      </w:pPr>
    </w:p>
    <w:p w:rsidR="002708B2" w:rsidRPr="00BE0EFA" w:rsidRDefault="00735059" w:rsidP="002708B2">
      <w:pPr>
        <w:pStyle w:val="ListParagraph"/>
        <w:ind w:left="0"/>
        <w:jc w:val="both"/>
        <w:rPr>
          <w:rFonts w:ascii="Times New Roman" w:eastAsia="Times New Roman" w:hAnsi="Times New Roman"/>
          <w:noProof/>
          <w:lang w:val="ro-RO"/>
        </w:rPr>
      </w:pPr>
      <w:r w:rsidRPr="00BE0EFA">
        <w:rPr>
          <w:rFonts w:ascii="Times New Roman" w:eastAsia="Times New Roman" w:hAnsi="Times New Roman"/>
          <w:noProof/>
          <w:lang w:val="ro-RO"/>
        </w:rPr>
        <w:t xml:space="preserve">De asemenea, prin realizarea investiției se va atinge obiectivul privind stimularea dezvoltării economico-sociale la nivelul municipiului Timișoara prin reabilitarea și valorificarea patrimoniului cultural și istoric al orașului. </w:t>
      </w:r>
    </w:p>
    <w:p w:rsidR="00735059" w:rsidRPr="00BE0EFA" w:rsidRDefault="00735059" w:rsidP="00735059">
      <w:pPr>
        <w:autoSpaceDE w:val="0"/>
        <w:autoSpaceDN w:val="0"/>
        <w:adjustRightInd w:val="0"/>
        <w:jc w:val="both"/>
        <w:rPr>
          <w:b/>
          <w:bCs/>
          <w:noProof/>
          <w:sz w:val="22"/>
          <w:szCs w:val="22"/>
        </w:rPr>
      </w:pPr>
      <w:r w:rsidRPr="00BE0EFA">
        <w:rPr>
          <w:b/>
          <w:bCs/>
          <w:noProof/>
          <w:sz w:val="22"/>
          <w:szCs w:val="22"/>
        </w:rPr>
        <w:t>Obiective generale</w:t>
      </w:r>
    </w:p>
    <w:p w:rsidR="00735059" w:rsidRPr="00BE0EFA" w:rsidRDefault="00735059" w:rsidP="00735059">
      <w:pPr>
        <w:pStyle w:val="ListParagraph"/>
        <w:numPr>
          <w:ilvl w:val="0"/>
          <w:numId w:val="36"/>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Comemorarea durabilă a evenimentelor din Decembrie 1989</w:t>
      </w:r>
      <w:r w:rsidR="002C1523" w:rsidRPr="00BE0EFA">
        <w:rPr>
          <w:rFonts w:ascii="Times New Roman" w:hAnsi="Times New Roman"/>
          <w:noProof/>
          <w:lang w:val="ro-RO"/>
        </w:rPr>
        <w:t>;</w:t>
      </w:r>
    </w:p>
    <w:p w:rsidR="00735059" w:rsidRPr="00BE0EFA" w:rsidRDefault="00735059" w:rsidP="00735059">
      <w:pPr>
        <w:pStyle w:val="ListParagraph"/>
        <w:numPr>
          <w:ilvl w:val="0"/>
          <w:numId w:val="36"/>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Interpretarea în context contemporan și prin experiența directă a evenimentelor din 1989</w:t>
      </w:r>
      <w:r w:rsidR="002C1523" w:rsidRPr="00BE0EFA">
        <w:rPr>
          <w:rFonts w:ascii="Times New Roman" w:hAnsi="Times New Roman"/>
          <w:noProof/>
          <w:lang w:val="ro-RO"/>
        </w:rPr>
        <w:t>;</w:t>
      </w:r>
    </w:p>
    <w:p w:rsidR="00735059" w:rsidRPr="00BE0EFA" w:rsidRDefault="00735059" w:rsidP="00735059">
      <w:pPr>
        <w:pStyle w:val="ListParagraph"/>
        <w:numPr>
          <w:ilvl w:val="0"/>
          <w:numId w:val="36"/>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Construirea unui context urban care să dea prilejul de a reflecta și păstra această experiență din 1989 a Timișoarei</w:t>
      </w:r>
      <w:r w:rsidR="002C1523" w:rsidRPr="00BE0EFA">
        <w:rPr>
          <w:rFonts w:ascii="Times New Roman" w:hAnsi="Times New Roman"/>
          <w:noProof/>
          <w:lang w:val="ro-RO"/>
        </w:rPr>
        <w:t>.</w:t>
      </w:r>
      <w:r w:rsidRPr="00BE0EFA">
        <w:rPr>
          <w:rFonts w:ascii="Times New Roman" w:hAnsi="Times New Roman"/>
          <w:noProof/>
          <w:lang w:val="ro-RO"/>
        </w:rPr>
        <w:t xml:space="preserve"> </w:t>
      </w:r>
    </w:p>
    <w:p w:rsidR="00735059" w:rsidRPr="00BE0EFA" w:rsidRDefault="00735059" w:rsidP="00735059">
      <w:pPr>
        <w:autoSpaceDE w:val="0"/>
        <w:autoSpaceDN w:val="0"/>
        <w:adjustRightInd w:val="0"/>
        <w:jc w:val="both"/>
        <w:rPr>
          <w:b/>
          <w:bCs/>
          <w:noProof/>
          <w:sz w:val="22"/>
          <w:szCs w:val="22"/>
        </w:rPr>
      </w:pPr>
      <w:r w:rsidRPr="00BE0EFA">
        <w:rPr>
          <w:b/>
          <w:bCs/>
          <w:noProof/>
          <w:sz w:val="22"/>
          <w:szCs w:val="22"/>
        </w:rPr>
        <w:t>Obiective specifice</w:t>
      </w:r>
    </w:p>
    <w:p w:rsidR="00735059" w:rsidRPr="00BE0EFA" w:rsidRDefault="00735059" w:rsidP="00735059">
      <w:pPr>
        <w:pStyle w:val="ListParagraph"/>
        <w:numPr>
          <w:ilvl w:val="0"/>
          <w:numId w:val="37"/>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Crearea unui traseu coerent vizual, mediatic, tematic și conceptual care leagă punctele marcante ale Revoluției din Decembrie 1989</w:t>
      </w:r>
      <w:r w:rsidR="00855141" w:rsidRPr="00BE0EFA">
        <w:rPr>
          <w:rFonts w:ascii="Times New Roman" w:hAnsi="Times New Roman"/>
          <w:noProof/>
          <w:lang w:val="ro-RO"/>
        </w:rPr>
        <w:t xml:space="preserve"> în Timișoara;</w:t>
      </w:r>
    </w:p>
    <w:p w:rsidR="00735059" w:rsidRPr="00BE0EFA" w:rsidRDefault="00735059" w:rsidP="00735059">
      <w:pPr>
        <w:pStyle w:val="ListParagraph"/>
        <w:numPr>
          <w:ilvl w:val="0"/>
          <w:numId w:val="37"/>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 xml:space="preserve">Realizarea unor puncte marcante în spațiul public prin materialitate și tehnologie care să reflecte memoria Revoluției din </w:t>
      </w:r>
      <w:r w:rsidR="00855141" w:rsidRPr="00BE0EFA">
        <w:rPr>
          <w:rFonts w:ascii="Times New Roman" w:hAnsi="Times New Roman"/>
          <w:noProof/>
          <w:lang w:val="ro-RO"/>
        </w:rPr>
        <w:t>D</w:t>
      </w:r>
      <w:r w:rsidRPr="00BE0EFA">
        <w:rPr>
          <w:rFonts w:ascii="Times New Roman" w:hAnsi="Times New Roman"/>
          <w:noProof/>
          <w:lang w:val="ro-RO"/>
        </w:rPr>
        <w:t>ecembrie 1989 din Timișoara</w:t>
      </w:r>
      <w:r w:rsidR="00855141" w:rsidRPr="00BE0EFA">
        <w:rPr>
          <w:rFonts w:ascii="Times New Roman" w:hAnsi="Times New Roman"/>
          <w:noProof/>
          <w:lang w:val="ro-RO"/>
        </w:rPr>
        <w:t>;</w:t>
      </w:r>
    </w:p>
    <w:p w:rsidR="00735059" w:rsidRPr="00BE0EFA" w:rsidRDefault="00735059" w:rsidP="00735059">
      <w:pPr>
        <w:pStyle w:val="ListParagraph"/>
        <w:numPr>
          <w:ilvl w:val="0"/>
          <w:numId w:val="37"/>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Îmbunătățirea calității punctuale a spațiului public (Piața Maria/Reședința Pastorului Lázslo Tokés, Consiliul Județean/fost sediu PCR)</w:t>
      </w:r>
      <w:r w:rsidR="00855141" w:rsidRPr="00BE0EFA">
        <w:rPr>
          <w:rFonts w:ascii="Times New Roman" w:hAnsi="Times New Roman"/>
          <w:noProof/>
          <w:lang w:val="ro-RO"/>
        </w:rPr>
        <w:t>;</w:t>
      </w:r>
    </w:p>
    <w:p w:rsidR="00735059" w:rsidRPr="00BE0EFA" w:rsidRDefault="00735059" w:rsidP="00735059">
      <w:pPr>
        <w:pStyle w:val="ListParagraph"/>
        <w:numPr>
          <w:ilvl w:val="0"/>
          <w:numId w:val="37"/>
        </w:numPr>
        <w:autoSpaceDE w:val="0"/>
        <w:autoSpaceDN w:val="0"/>
        <w:adjustRightInd w:val="0"/>
        <w:jc w:val="both"/>
        <w:rPr>
          <w:rFonts w:ascii="Times New Roman" w:hAnsi="Times New Roman"/>
          <w:noProof/>
          <w:lang w:val="ro-RO"/>
        </w:rPr>
      </w:pPr>
      <w:r w:rsidRPr="00BE0EFA">
        <w:rPr>
          <w:rFonts w:ascii="Times New Roman" w:hAnsi="Times New Roman"/>
          <w:noProof/>
          <w:lang w:val="ro-RO"/>
        </w:rPr>
        <w:t xml:space="preserve">Integrarea unei infrastructuri de tip </w:t>
      </w:r>
      <w:r w:rsidRPr="00BE0EFA">
        <w:rPr>
          <w:rFonts w:ascii="Times New Roman" w:hAnsi="Times New Roman"/>
          <w:i/>
          <w:iCs/>
          <w:noProof/>
          <w:lang w:val="ro-RO"/>
        </w:rPr>
        <w:t>Internet of Things</w:t>
      </w:r>
      <w:r w:rsidRPr="00BE0EFA">
        <w:rPr>
          <w:rFonts w:ascii="Times New Roman" w:hAnsi="Times New Roman"/>
          <w:noProof/>
          <w:lang w:val="ro-RO"/>
        </w:rPr>
        <w:t xml:space="preserve"> și media (</w:t>
      </w:r>
      <w:r w:rsidRPr="00BE0EFA">
        <w:rPr>
          <w:rFonts w:ascii="Times New Roman" w:hAnsi="Times New Roman"/>
          <w:i/>
          <w:iCs/>
          <w:noProof/>
          <w:lang w:val="ro-RO"/>
        </w:rPr>
        <w:t>Augmented Reality, Virtual Reality, New Media Art</w:t>
      </w:r>
      <w:r w:rsidRPr="00BE0EFA">
        <w:rPr>
          <w:rFonts w:ascii="Times New Roman" w:hAnsi="Times New Roman"/>
          <w:noProof/>
          <w:lang w:val="ro-RO"/>
        </w:rPr>
        <w:t>) care să permită o experiență senzorială și emoțională a locului</w:t>
      </w:r>
      <w:r w:rsidR="00855141" w:rsidRPr="00BE0EFA">
        <w:rPr>
          <w:rFonts w:ascii="Times New Roman" w:hAnsi="Times New Roman"/>
          <w:noProof/>
          <w:lang w:val="ro-RO"/>
        </w:rPr>
        <w:t>.</w:t>
      </w:r>
    </w:p>
    <w:p w:rsidR="00735059" w:rsidRPr="00BE0EFA" w:rsidRDefault="00735059" w:rsidP="00735059">
      <w:pPr>
        <w:jc w:val="both"/>
        <w:rPr>
          <w:spacing w:val="-2"/>
          <w:sz w:val="22"/>
          <w:szCs w:val="22"/>
        </w:rPr>
      </w:pPr>
    </w:p>
    <w:p w:rsidR="003B3CCC" w:rsidRPr="00BE0EFA" w:rsidRDefault="003B3CCC" w:rsidP="003B3CCC">
      <w:pPr>
        <w:jc w:val="both"/>
        <w:rPr>
          <w:bCs/>
          <w:spacing w:val="-2"/>
          <w:sz w:val="22"/>
          <w:szCs w:val="22"/>
        </w:rPr>
      </w:pPr>
      <w:r w:rsidRPr="00BE0EFA">
        <w:rPr>
          <w:bCs/>
          <w:i/>
          <w:spacing w:val="-2"/>
          <w:sz w:val="22"/>
          <w:szCs w:val="22"/>
        </w:rPr>
        <w:t>Conceptul memorial și de interventie în spatiul public</w:t>
      </w:r>
      <w:r w:rsidRPr="00BE0EFA">
        <w:rPr>
          <w:bCs/>
          <w:spacing w:val="-2"/>
          <w:sz w:val="22"/>
          <w:szCs w:val="22"/>
        </w:rPr>
        <w:t xml:space="preserve"> pentru Traseul Revolu</w:t>
      </w:r>
      <w:r w:rsidR="00855141" w:rsidRPr="00BE0EFA">
        <w:rPr>
          <w:bCs/>
          <w:spacing w:val="-2"/>
          <w:sz w:val="22"/>
          <w:szCs w:val="22"/>
        </w:rPr>
        <w:t>ț</w:t>
      </w:r>
      <w:r w:rsidRPr="00BE0EFA">
        <w:rPr>
          <w:bCs/>
          <w:spacing w:val="-2"/>
          <w:sz w:val="22"/>
          <w:szCs w:val="22"/>
        </w:rPr>
        <w:t xml:space="preserve">iei din Decembrie 1989, </w:t>
      </w:r>
      <w:r w:rsidR="0026277A" w:rsidRPr="00BE0EFA">
        <w:rPr>
          <w:bCs/>
          <w:spacing w:val="-2"/>
          <w:sz w:val="22"/>
          <w:szCs w:val="22"/>
        </w:rPr>
        <w:t xml:space="preserve">stă la baza </w:t>
      </w:r>
      <w:r w:rsidRPr="00BE0EFA">
        <w:rPr>
          <w:bCs/>
          <w:spacing w:val="-2"/>
          <w:sz w:val="22"/>
          <w:szCs w:val="22"/>
        </w:rPr>
        <w:t xml:space="preserve"> amenaj</w:t>
      </w:r>
      <w:r w:rsidR="0026277A" w:rsidRPr="00BE0EFA">
        <w:rPr>
          <w:bCs/>
          <w:spacing w:val="-2"/>
          <w:sz w:val="22"/>
          <w:szCs w:val="22"/>
        </w:rPr>
        <w:t>ării</w:t>
      </w:r>
      <w:r w:rsidRPr="00BE0EFA">
        <w:rPr>
          <w:bCs/>
          <w:spacing w:val="-2"/>
          <w:sz w:val="22"/>
          <w:szCs w:val="22"/>
        </w:rPr>
        <w:t xml:space="preserve"> și intervenție</w:t>
      </w:r>
      <w:r w:rsidR="0026277A" w:rsidRPr="00BE0EFA">
        <w:rPr>
          <w:bCs/>
          <w:spacing w:val="-2"/>
          <w:sz w:val="22"/>
          <w:szCs w:val="22"/>
        </w:rPr>
        <w:t xml:space="preserve">i asupra zonei de implmentare </w:t>
      </w:r>
      <w:r w:rsidRPr="00BE0EFA">
        <w:rPr>
          <w:bCs/>
          <w:spacing w:val="-2"/>
          <w:sz w:val="22"/>
          <w:szCs w:val="22"/>
        </w:rPr>
        <w:t xml:space="preserve"> într-un mod cât mai autentic </w:t>
      </w:r>
      <w:r w:rsidR="0026277A" w:rsidRPr="00BE0EFA">
        <w:rPr>
          <w:bCs/>
          <w:spacing w:val="-2"/>
          <w:sz w:val="22"/>
          <w:szCs w:val="22"/>
        </w:rPr>
        <w:t xml:space="preserve">punând în </w:t>
      </w:r>
      <w:r w:rsidRPr="00BE0EFA">
        <w:rPr>
          <w:bCs/>
          <w:spacing w:val="-2"/>
          <w:sz w:val="22"/>
          <w:szCs w:val="22"/>
        </w:rPr>
        <w:t>valoare caracterul istoric și cultural al zonel</w:t>
      </w:r>
      <w:r w:rsidR="009F5F35" w:rsidRPr="00BE0EFA">
        <w:rPr>
          <w:bCs/>
          <w:spacing w:val="-2"/>
          <w:sz w:val="22"/>
          <w:szCs w:val="22"/>
        </w:rPr>
        <w:t>or</w:t>
      </w:r>
      <w:r w:rsidRPr="00BE0EFA">
        <w:rPr>
          <w:bCs/>
          <w:spacing w:val="-2"/>
          <w:sz w:val="22"/>
          <w:szCs w:val="22"/>
        </w:rPr>
        <w:t xml:space="preserve"> marcante ale </w:t>
      </w:r>
      <w:r w:rsidR="009F5F35" w:rsidRPr="00BE0EFA">
        <w:rPr>
          <w:bCs/>
          <w:spacing w:val="-2"/>
          <w:sz w:val="22"/>
          <w:szCs w:val="22"/>
        </w:rPr>
        <w:t>R</w:t>
      </w:r>
      <w:r w:rsidRPr="00BE0EFA">
        <w:rPr>
          <w:bCs/>
          <w:spacing w:val="-2"/>
          <w:sz w:val="22"/>
          <w:szCs w:val="22"/>
        </w:rPr>
        <w:t>evoluției.</w:t>
      </w:r>
    </w:p>
    <w:p w:rsidR="009F5F35" w:rsidRPr="00BE0EFA" w:rsidRDefault="009F5F35" w:rsidP="009F5F35">
      <w:pPr>
        <w:autoSpaceDE w:val="0"/>
        <w:autoSpaceDN w:val="0"/>
        <w:adjustRightInd w:val="0"/>
        <w:jc w:val="both"/>
        <w:rPr>
          <w:rFonts w:eastAsia="Calibri"/>
          <w:sz w:val="22"/>
          <w:szCs w:val="22"/>
        </w:rPr>
      </w:pPr>
    </w:p>
    <w:p w:rsidR="009F5F35" w:rsidRPr="00BE0EFA" w:rsidRDefault="0026277A" w:rsidP="009F5F35">
      <w:pPr>
        <w:autoSpaceDE w:val="0"/>
        <w:autoSpaceDN w:val="0"/>
        <w:adjustRightInd w:val="0"/>
        <w:jc w:val="both"/>
        <w:rPr>
          <w:rFonts w:eastAsia="Calibri"/>
          <w:sz w:val="22"/>
          <w:szCs w:val="22"/>
        </w:rPr>
      </w:pPr>
      <w:r w:rsidRPr="00BE0EFA">
        <w:rPr>
          <w:rFonts w:eastAsia="Calibri"/>
          <w:sz w:val="22"/>
          <w:szCs w:val="22"/>
        </w:rPr>
        <w:t xml:space="preserve">Au fost emise </w:t>
      </w:r>
      <w:r w:rsidR="009F5F35" w:rsidRPr="00BE0EFA">
        <w:rPr>
          <w:rFonts w:eastAsia="Calibri"/>
          <w:sz w:val="22"/>
          <w:szCs w:val="22"/>
        </w:rPr>
        <w:t>Certificat</w:t>
      </w:r>
      <w:r w:rsidR="00583585" w:rsidRPr="00BE0EFA">
        <w:rPr>
          <w:rFonts w:eastAsia="Calibri"/>
          <w:sz w:val="22"/>
          <w:szCs w:val="22"/>
        </w:rPr>
        <w:t>ele</w:t>
      </w:r>
      <w:r w:rsidR="009F5F35" w:rsidRPr="00BE0EFA">
        <w:rPr>
          <w:rFonts w:eastAsia="Calibri"/>
          <w:sz w:val="22"/>
          <w:szCs w:val="22"/>
        </w:rPr>
        <w:t xml:space="preserve"> de urbanism nr. </w:t>
      </w:r>
      <w:r w:rsidR="00583585" w:rsidRPr="00BE0EFA">
        <w:rPr>
          <w:rFonts w:eastAsia="Calibri"/>
          <w:bCs/>
          <w:sz w:val="22"/>
          <w:szCs w:val="22"/>
        </w:rPr>
        <w:t xml:space="preserve">1436 </w:t>
      </w:r>
      <w:r w:rsidR="009F5F35" w:rsidRPr="00BE0EFA">
        <w:rPr>
          <w:rFonts w:eastAsia="Calibri"/>
          <w:bCs/>
          <w:sz w:val="22"/>
          <w:szCs w:val="22"/>
        </w:rPr>
        <w:t>din 2</w:t>
      </w:r>
      <w:r w:rsidR="00583585" w:rsidRPr="00BE0EFA">
        <w:rPr>
          <w:rFonts w:eastAsia="Calibri"/>
          <w:bCs/>
          <w:sz w:val="22"/>
          <w:szCs w:val="22"/>
        </w:rPr>
        <w:t>3</w:t>
      </w:r>
      <w:r w:rsidR="009F5F35" w:rsidRPr="00BE0EFA">
        <w:rPr>
          <w:rFonts w:eastAsia="Calibri"/>
          <w:bCs/>
          <w:sz w:val="22"/>
          <w:szCs w:val="22"/>
        </w:rPr>
        <w:t>.0</w:t>
      </w:r>
      <w:r w:rsidR="00583585" w:rsidRPr="00BE0EFA">
        <w:rPr>
          <w:rFonts w:eastAsia="Calibri"/>
          <w:bCs/>
          <w:sz w:val="22"/>
          <w:szCs w:val="22"/>
        </w:rPr>
        <w:t>5</w:t>
      </w:r>
      <w:r w:rsidR="009F5F35" w:rsidRPr="00BE0EFA">
        <w:rPr>
          <w:rFonts w:eastAsia="Calibri"/>
          <w:bCs/>
          <w:sz w:val="22"/>
          <w:szCs w:val="22"/>
        </w:rPr>
        <w:t>.20</w:t>
      </w:r>
      <w:r w:rsidR="00583585" w:rsidRPr="00BE0EFA">
        <w:rPr>
          <w:rFonts w:eastAsia="Calibri"/>
          <w:bCs/>
          <w:sz w:val="22"/>
          <w:szCs w:val="22"/>
        </w:rPr>
        <w:t>22</w:t>
      </w:r>
      <w:r w:rsidR="00583585" w:rsidRPr="00BE0EFA">
        <w:rPr>
          <w:rFonts w:eastAsia="Calibri"/>
          <w:sz w:val="22"/>
          <w:szCs w:val="22"/>
        </w:rPr>
        <w:t xml:space="preserve">, nr. </w:t>
      </w:r>
      <w:r w:rsidR="00E81342" w:rsidRPr="00BE0EFA">
        <w:rPr>
          <w:rFonts w:eastAsia="Calibri"/>
          <w:bCs/>
          <w:sz w:val="22"/>
          <w:szCs w:val="22"/>
        </w:rPr>
        <w:t>3428</w:t>
      </w:r>
      <w:r w:rsidR="00583585" w:rsidRPr="00BE0EFA">
        <w:rPr>
          <w:rFonts w:eastAsia="Calibri"/>
          <w:bCs/>
          <w:sz w:val="22"/>
          <w:szCs w:val="22"/>
        </w:rPr>
        <w:t xml:space="preserve"> din 2</w:t>
      </w:r>
      <w:r w:rsidR="00E81342" w:rsidRPr="00BE0EFA">
        <w:rPr>
          <w:rFonts w:eastAsia="Calibri"/>
          <w:bCs/>
          <w:sz w:val="22"/>
          <w:szCs w:val="22"/>
        </w:rPr>
        <w:t>2</w:t>
      </w:r>
      <w:r w:rsidR="00583585" w:rsidRPr="00BE0EFA">
        <w:rPr>
          <w:rFonts w:eastAsia="Calibri"/>
          <w:bCs/>
          <w:sz w:val="22"/>
          <w:szCs w:val="22"/>
        </w:rPr>
        <w:t>.</w:t>
      </w:r>
      <w:r w:rsidR="00E81342" w:rsidRPr="00BE0EFA">
        <w:rPr>
          <w:rFonts w:eastAsia="Calibri"/>
          <w:bCs/>
          <w:sz w:val="22"/>
          <w:szCs w:val="22"/>
        </w:rPr>
        <w:t>11</w:t>
      </w:r>
      <w:r w:rsidR="00583585" w:rsidRPr="00BE0EFA">
        <w:rPr>
          <w:rFonts w:eastAsia="Calibri"/>
          <w:bCs/>
          <w:sz w:val="22"/>
          <w:szCs w:val="22"/>
        </w:rPr>
        <w:t>.202</w:t>
      </w:r>
      <w:r w:rsidR="00E81342" w:rsidRPr="00BE0EFA">
        <w:rPr>
          <w:rFonts w:eastAsia="Calibri"/>
          <w:bCs/>
          <w:sz w:val="22"/>
          <w:szCs w:val="22"/>
        </w:rPr>
        <w:t>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3465</w:t>
      </w:r>
      <w:r w:rsidR="00583585" w:rsidRPr="00BE0EFA">
        <w:rPr>
          <w:rFonts w:eastAsia="Calibri"/>
          <w:bCs/>
          <w:sz w:val="22"/>
          <w:szCs w:val="22"/>
        </w:rPr>
        <w:t xml:space="preserve"> din 2</w:t>
      </w:r>
      <w:r w:rsidR="00E81342" w:rsidRPr="00BE0EFA">
        <w:rPr>
          <w:rFonts w:eastAsia="Calibri"/>
          <w:bCs/>
          <w:sz w:val="22"/>
          <w:szCs w:val="22"/>
        </w:rPr>
        <w:t>5</w:t>
      </w:r>
      <w:r w:rsidR="00583585" w:rsidRPr="00BE0EFA">
        <w:rPr>
          <w:rFonts w:eastAsia="Calibri"/>
          <w:bCs/>
          <w:sz w:val="22"/>
          <w:szCs w:val="22"/>
        </w:rPr>
        <w:t>.</w:t>
      </w:r>
      <w:r w:rsidR="00E81342" w:rsidRPr="00BE0EFA">
        <w:rPr>
          <w:rFonts w:eastAsia="Calibri"/>
          <w:bCs/>
          <w:sz w:val="22"/>
          <w:szCs w:val="22"/>
        </w:rPr>
        <w:t>11</w:t>
      </w:r>
      <w:r w:rsidR="00583585" w:rsidRPr="00BE0EFA">
        <w:rPr>
          <w:rFonts w:eastAsia="Calibri"/>
          <w:bCs/>
          <w:sz w:val="22"/>
          <w:szCs w:val="22"/>
        </w:rPr>
        <w:t>.202</w:t>
      </w:r>
      <w:r w:rsidR="00E81342" w:rsidRPr="00BE0EFA">
        <w:rPr>
          <w:rFonts w:eastAsia="Calibri"/>
          <w:bCs/>
          <w:sz w:val="22"/>
          <w:szCs w:val="22"/>
        </w:rPr>
        <w:t>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3489</w:t>
      </w:r>
      <w:r w:rsidR="00583585" w:rsidRPr="00BE0EFA">
        <w:rPr>
          <w:rFonts w:eastAsia="Calibri"/>
          <w:bCs/>
          <w:sz w:val="22"/>
          <w:szCs w:val="22"/>
        </w:rPr>
        <w:t xml:space="preserve"> din </w:t>
      </w:r>
      <w:r w:rsidR="00E81342" w:rsidRPr="00BE0EFA">
        <w:rPr>
          <w:rFonts w:eastAsia="Calibri"/>
          <w:bCs/>
          <w:sz w:val="22"/>
          <w:szCs w:val="22"/>
        </w:rPr>
        <w:t>25.11.2021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3546</w:t>
      </w:r>
      <w:r w:rsidR="00583585" w:rsidRPr="00BE0EFA">
        <w:rPr>
          <w:rFonts w:eastAsia="Calibri"/>
          <w:bCs/>
          <w:sz w:val="22"/>
          <w:szCs w:val="22"/>
        </w:rPr>
        <w:t xml:space="preserve"> din </w:t>
      </w:r>
      <w:r w:rsidR="00E81342" w:rsidRPr="00BE0EFA">
        <w:rPr>
          <w:rFonts w:eastAsia="Calibri"/>
          <w:bCs/>
          <w:sz w:val="22"/>
          <w:szCs w:val="22"/>
        </w:rPr>
        <w:t>08</w:t>
      </w:r>
      <w:r w:rsidR="00583585" w:rsidRPr="00BE0EFA">
        <w:rPr>
          <w:rFonts w:eastAsia="Calibri"/>
          <w:bCs/>
          <w:sz w:val="22"/>
          <w:szCs w:val="22"/>
        </w:rPr>
        <w:t>.</w:t>
      </w:r>
      <w:r w:rsidR="00E81342" w:rsidRPr="00BE0EFA">
        <w:rPr>
          <w:rFonts w:eastAsia="Calibri"/>
          <w:bCs/>
          <w:sz w:val="22"/>
          <w:szCs w:val="22"/>
        </w:rPr>
        <w:t>12</w:t>
      </w:r>
      <w:r w:rsidR="00583585" w:rsidRPr="00BE0EFA">
        <w:rPr>
          <w:rFonts w:eastAsia="Calibri"/>
          <w:bCs/>
          <w:sz w:val="22"/>
          <w:szCs w:val="22"/>
        </w:rPr>
        <w:t>.202</w:t>
      </w:r>
      <w:r w:rsidR="00E81342" w:rsidRPr="00BE0EFA">
        <w:rPr>
          <w:rFonts w:eastAsia="Calibri"/>
          <w:bCs/>
          <w:sz w:val="22"/>
          <w:szCs w:val="22"/>
        </w:rPr>
        <w:t>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359</w:t>
      </w:r>
      <w:r w:rsidR="00583585" w:rsidRPr="00BE0EFA">
        <w:rPr>
          <w:rFonts w:eastAsia="Calibri"/>
          <w:bCs/>
          <w:sz w:val="22"/>
          <w:szCs w:val="22"/>
        </w:rPr>
        <w:t xml:space="preserve">6 din </w:t>
      </w:r>
      <w:r w:rsidR="00E81342" w:rsidRPr="00BE0EFA">
        <w:rPr>
          <w:rFonts w:eastAsia="Calibri"/>
          <w:bCs/>
          <w:sz w:val="22"/>
          <w:szCs w:val="22"/>
        </w:rPr>
        <w:t>09</w:t>
      </w:r>
      <w:r w:rsidR="00583585" w:rsidRPr="00BE0EFA">
        <w:rPr>
          <w:rFonts w:eastAsia="Calibri"/>
          <w:bCs/>
          <w:sz w:val="22"/>
          <w:szCs w:val="22"/>
        </w:rPr>
        <w:t>.</w:t>
      </w:r>
      <w:r w:rsidR="00E81342" w:rsidRPr="00BE0EFA">
        <w:rPr>
          <w:rFonts w:eastAsia="Calibri"/>
          <w:bCs/>
          <w:sz w:val="22"/>
          <w:szCs w:val="22"/>
        </w:rPr>
        <w:t>12</w:t>
      </w:r>
      <w:r w:rsidR="00583585" w:rsidRPr="00BE0EFA">
        <w:rPr>
          <w:rFonts w:eastAsia="Calibri"/>
          <w:bCs/>
          <w:sz w:val="22"/>
          <w:szCs w:val="22"/>
        </w:rPr>
        <w:t>.202</w:t>
      </w:r>
      <w:r w:rsidR="00E81342" w:rsidRPr="00BE0EFA">
        <w:rPr>
          <w:rFonts w:eastAsia="Calibri"/>
          <w:bCs/>
          <w:sz w:val="22"/>
          <w:szCs w:val="22"/>
        </w:rPr>
        <w:t>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3612</w:t>
      </w:r>
      <w:r w:rsidR="00583585" w:rsidRPr="00BE0EFA">
        <w:rPr>
          <w:rFonts w:eastAsia="Calibri"/>
          <w:bCs/>
          <w:sz w:val="22"/>
          <w:szCs w:val="22"/>
        </w:rPr>
        <w:t xml:space="preserve"> din </w:t>
      </w:r>
      <w:r w:rsidR="00E81342" w:rsidRPr="00BE0EFA">
        <w:rPr>
          <w:rFonts w:eastAsia="Calibri"/>
          <w:bCs/>
          <w:sz w:val="22"/>
          <w:szCs w:val="22"/>
        </w:rPr>
        <w:t>1</w:t>
      </w:r>
      <w:r w:rsidR="00583585" w:rsidRPr="00BE0EFA">
        <w:rPr>
          <w:rFonts w:eastAsia="Calibri"/>
          <w:bCs/>
          <w:sz w:val="22"/>
          <w:szCs w:val="22"/>
        </w:rPr>
        <w:t>3.</w:t>
      </w:r>
      <w:r w:rsidR="00E81342" w:rsidRPr="00BE0EFA">
        <w:rPr>
          <w:rFonts w:eastAsia="Calibri"/>
          <w:bCs/>
          <w:sz w:val="22"/>
          <w:szCs w:val="22"/>
        </w:rPr>
        <w:t>12</w:t>
      </w:r>
      <w:r w:rsidR="00583585" w:rsidRPr="00BE0EFA">
        <w:rPr>
          <w:rFonts w:eastAsia="Calibri"/>
          <w:bCs/>
          <w:sz w:val="22"/>
          <w:szCs w:val="22"/>
        </w:rPr>
        <w:t>.202</w:t>
      </w:r>
      <w:r w:rsidR="00E81342" w:rsidRPr="00BE0EFA">
        <w:rPr>
          <w:rFonts w:eastAsia="Calibri"/>
          <w:bCs/>
          <w:sz w:val="22"/>
          <w:szCs w:val="22"/>
        </w:rPr>
        <w:t>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3613 din 13.12.2021</w:t>
      </w:r>
      <w:r w:rsidR="00583585" w:rsidRPr="00BE0EFA">
        <w:rPr>
          <w:rFonts w:eastAsia="Calibri"/>
          <w:bCs/>
          <w:sz w:val="22"/>
          <w:szCs w:val="22"/>
        </w:rPr>
        <w:t xml:space="preserve">, </w:t>
      </w:r>
      <w:r w:rsidR="00583585" w:rsidRPr="00BE0EFA">
        <w:rPr>
          <w:rFonts w:eastAsia="Calibri"/>
          <w:sz w:val="22"/>
          <w:szCs w:val="22"/>
        </w:rPr>
        <w:t xml:space="preserve">nr. </w:t>
      </w:r>
      <w:r w:rsidR="00E81342" w:rsidRPr="00BE0EFA">
        <w:rPr>
          <w:rFonts w:eastAsia="Calibri"/>
          <w:bCs/>
          <w:sz w:val="22"/>
          <w:szCs w:val="22"/>
        </w:rPr>
        <w:t>3614 din 13.12.2021</w:t>
      </w:r>
      <w:r w:rsidR="00583585" w:rsidRPr="00BE0EFA">
        <w:rPr>
          <w:rFonts w:eastAsia="Calibri"/>
          <w:bCs/>
          <w:sz w:val="22"/>
          <w:szCs w:val="22"/>
        </w:rPr>
        <w:t>.</w:t>
      </w:r>
    </w:p>
    <w:p w:rsidR="006B403B" w:rsidRPr="00BE0EFA" w:rsidRDefault="002708B2" w:rsidP="002708B2">
      <w:pPr>
        <w:spacing w:before="240"/>
        <w:jc w:val="both"/>
        <w:rPr>
          <w:spacing w:val="-2"/>
          <w:sz w:val="22"/>
          <w:szCs w:val="22"/>
        </w:rPr>
      </w:pPr>
      <w:r w:rsidRPr="00BE0EFA">
        <w:rPr>
          <w:spacing w:val="-2"/>
          <w:sz w:val="22"/>
          <w:szCs w:val="22"/>
        </w:rPr>
        <w:t xml:space="preserve">Proiectul va respecta Comunicarea Comisiei - Orientări tehnice privind aplicarea principiului de </w:t>
      </w:r>
      <w:r w:rsidRPr="00BE0EFA">
        <w:rPr>
          <w:spacing w:val="-2"/>
          <w:sz w:val="22"/>
          <w:szCs w:val="22"/>
          <w:u w:val="single"/>
        </w:rPr>
        <w:t>„a nu aduce prejudicii semnificative”</w:t>
      </w:r>
      <w:r w:rsidRPr="00BE0EFA">
        <w:rPr>
          <w:spacing w:val="-2"/>
          <w:sz w:val="22"/>
          <w:szCs w:val="22"/>
        </w:rPr>
        <w:t xml:space="preserve"> în temeiul Regulamentului privind Mecanismul de redresare și reziliență (2021/C58/01). Proiectul va respecta obligaţiilor prevăzute în PNRR pentru implementarea principiului „Do No Significant Harm” (DNSH) (</w:t>
      </w:r>
      <w:r w:rsidR="005F3E98" w:rsidRPr="00BE0EFA">
        <w:rPr>
          <w:spacing w:val="-2"/>
          <w:sz w:val="22"/>
          <w:szCs w:val="22"/>
        </w:rPr>
        <w:t>„</w:t>
      </w:r>
      <w:r w:rsidRPr="00BE0EFA">
        <w:rPr>
          <w:spacing w:val="-2"/>
          <w:sz w:val="22"/>
          <w:szCs w:val="22"/>
        </w:rPr>
        <w:t>A nu prejudicia în mod semnificativ”), astfel cum este prevăzut la Articolul 17 din Regulamentul (UE) 2020/852 privind instituirea unui cadru care să faciliteze investițiile durabile, pe toată perioada de implementare a proiectului.</w:t>
      </w:r>
    </w:p>
    <w:p w:rsidR="002708B2" w:rsidRPr="00BE0EFA" w:rsidRDefault="002708B2" w:rsidP="002708B2">
      <w:pPr>
        <w:pStyle w:val="ListParagraph"/>
        <w:ind w:left="0"/>
        <w:jc w:val="both"/>
        <w:rPr>
          <w:rFonts w:ascii="Times New Roman" w:eastAsia="Times New Roman" w:hAnsi="Times New Roman"/>
          <w:noProof/>
          <w:lang w:val="ro-RO"/>
        </w:rPr>
      </w:pPr>
      <w:r w:rsidRPr="00BE0EFA">
        <w:rPr>
          <w:rFonts w:ascii="Times New Roman" w:hAnsi="Times New Roman"/>
          <w:noProof/>
          <w:lang w:val="ro-RO"/>
        </w:rPr>
        <w:t>Se va avea în vedere ca următoarele puncte să fie prioritare:</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t>Valorificarea patrimoniului</w:t>
      </w:r>
      <w:r w:rsidRPr="00BE0EFA">
        <w:rPr>
          <w:rFonts w:ascii="Times New Roman" w:hAnsi="Times New Roman"/>
          <w:noProof/>
          <w:lang w:val="ro-RO"/>
        </w:rPr>
        <w:t xml:space="preserve">  – corelarea amenajării publice, adaptarea materialelor si solutiilor  cu fondul construit. </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t>Recognoscibilitate</w:t>
      </w:r>
      <w:r w:rsidRPr="00BE0EFA">
        <w:rPr>
          <w:rFonts w:ascii="Times New Roman" w:hAnsi="Times New Roman"/>
          <w:noProof/>
          <w:lang w:val="ro-RO"/>
        </w:rPr>
        <w:t xml:space="preserve"> – Utilizarea unui limbaj arhitectural coerent și distinct la nivelul tuturor zonelor de intervenție;</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t>Memoria locului</w:t>
      </w:r>
      <w:r w:rsidRPr="00BE0EFA">
        <w:rPr>
          <w:rFonts w:ascii="Times New Roman" w:hAnsi="Times New Roman"/>
          <w:noProof/>
          <w:lang w:val="ro-RO"/>
        </w:rPr>
        <w:t xml:space="preserve"> – Protejarea și punerea în valoare prin modul de amenajare a spațiului public, a evenimentelor ce au avut loc în zonele de intervenție;</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t>Accesibilitate</w:t>
      </w:r>
      <w:r w:rsidRPr="00BE0EFA">
        <w:rPr>
          <w:rFonts w:ascii="Times New Roman" w:hAnsi="Times New Roman"/>
          <w:noProof/>
          <w:lang w:val="ro-RO"/>
        </w:rPr>
        <w:t xml:space="preserve"> – creşterea gradului de accesibilitate pentru toate grupele de vârstă şi persoanele cu dizabilităţi, creșterea gradului de accesibilitate a dotărilor şi serviciilor prin mobilitate alternativă şi transport public;</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t>Atractivitate</w:t>
      </w:r>
      <w:r w:rsidRPr="00BE0EFA">
        <w:rPr>
          <w:rFonts w:ascii="Times New Roman" w:hAnsi="Times New Roman"/>
          <w:noProof/>
          <w:lang w:val="ro-RO"/>
        </w:rPr>
        <w:t xml:space="preserve"> – creșterea atractivității zonelor de intervenție pentru timișoreni și vizitatori, întărirea identității zonei;</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t xml:space="preserve">Durabilitate </w:t>
      </w:r>
      <w:r w:rsidRPr="00BE0EFA">
        <w:rPr>
          <w:rFonts w:ascii="Times New Roman" w:hAnsi="Times New Roman"/>
          <w:noProof/>
          <w:lang w:val="ro-RO"/>
        </w:rPr>
        <w:t xml:space="preserve">– intervenții folosind materiale de bună calitate, potrivite locului și rezistente în timp; </w:t>
      </w:r>
    </w:p>
    <w:p w:rsidR="002708B2" w:rsidRPr="00BE0EFA" w:rsidRDefault="002708B2" w:rsidP="002708B2">
      <w:pPr>
        <w:pStyle w:val="ListParagraph"/>
        <w:numPr>
          <w:ilvl w:val="0"/>
          <w:numId w:val="24"/>
        </w:numPr>
        <w:autoSpaceDE w:val="0"/>
        <w:autoSpaceDN w:val="0"/>
        <w:adjustRightInd w:val="0"/>
        <w:ind w:left="709" w:hanging="283"/>
        <w:jc w:val="both"/>
        <w:rPr>
          <w:rFonts w:ascii="Times New Roman" w:hAnsi="Times New Roman"/>
          <w:noProof/>
          <w:lang w:val="ro-RO"/>
        </w:rPr>
      </w:pPr>
      <w:r w:rsidRPr="00BE0EFA">
        <w:rPr>
          <w:rFonts w:ascii="Times New Roman" w:hAnsi="Times New Roman"/>
          <w:b/>
          <w:noProof/>
          <w:lang w:val="ro-RO"/>
        </w:rPr>
        <w:lastRenderedPageBreak/>
        <w:t>Sustenabilitate</w:t>
      </w:r>
      <w:r w:rsidRPr="00BE0EFA">
        <w:rPr>
          <w:rFonts w:ascii="Times New Roman" w:eastAsia="Times New Roman" w:hAnsi="Times New Roman"/>
          <w:noProof/>
          <w:lang w:val="ro-RO"/>
        </w:rPr>
        <w:t xml:space="preserve"> – intervenții non-invazive folosind materiale de bună calitate, potrivite locului și folosirii în spații cu trafic intens care se integrează în context, propuneri deschise corelarii cu viitoare proiecte de reabilitare.</w:t>
      </w:r>
    </w:p>
    <w:p w:rsidR="006B403B" w:rsidRPr="00BE0EFA" w:rsidRDefault="006B403B" w:rsidP="002708B2">
      <w:pPr>
        <w:autoSpaceDE w:val="0"/>
        <w:autoSpaceDN w:val="0"/>
        <w:adjustRightInd w:val="0"/>
        <w:jc w:val="both"/>
        <w:rPr>
          <w:spacing w:val="-2"/>
          <w:sz w:val="22"/>
          <w:szCs w:val="22"/>
        </w:rPr>
      </w:pPr>
    </w:p>
    <w:p w:rsidR="00443C2E" w:rsidRPr="00BE0EFA" w:rsidRDefault="009F5F35" w:rsidP="00443C2E">
      <w:pPr>
        <w:numPr>
          <w:ilvl w:val="0"/>
          <w:numId w:val="33"/>
        </w:numPr>
        <w:rPr>
          <w:b/>
          <w:bCs/>
          <w:sz w:val="22"/>
          <w:szCs w:val="22"/>
        </w:rPr>
      </w:pPr>
      <w:r w:rsidRPr="00BE0EFA">
        <w:rPr>
          <w:b/>
          <w:bCs/>
        </w:rPr>
        <w:t>Caracteristic</w:t>
      </w:r>
      <w:r w:rsidR="00E81342" w:rsidRPr="00BE0EFA">
        <w:rPr>
          <w:b/>
          <w:bCs/>
        </w:rPr>
        <w:t>i</w:t>
      </w:r>
      <w:r w:rsidRPr="00BE0EFA">
        <w:rPr>
          <w:b/>
          <w:bCs/>
        </w:rPr>
        <w:t xml:space="preserve"> tehnice proconizate</w:t>
      </w:r>
    </w:p>
    <w:p w:rsidR="009F5F35" w:rsidRPr="00BE0EFA" w:rsidRDefault="009F5F35" w:rsidP="0091418F">
      <w:pPr>
        <w:pStyle w:val="ListParagraph"/>
        <w:keepNext/>
        <w:widowControl w:val="0"/>
        <w:numPr>
          <w:ilvl w:val="0"/>
          <w:numId w:val="27"/>
        </w:numPr>
        <w:autoSpaceDE w:val="0"/>
        <w:autoSpaceDN w:val="0"/>
        <w:spacing w:before="240" w:after="0"/>
        <w:ind w:left="1134" w:hanging="567"/>
        <w:jc w:val="both"/>
        <w:rPr>
          <w:rFonts w:ascii="Times New Roman" w:hAnsi="Times New Roman"/>
          <w:b/>
          <w:bCs/>
          <w:lang w:val="ro-RO"/>
        </w:rPr>
      </w:pPr>
      <w:r w:rsidRPr="00BE0EFA">
        <w:rPr>
          <w:rFonts w:ascii="Times New Roman" w:hAnsi="Times New Roman"/>
          <w:noProof/>
          <w:lang w:val="ro-RO"/>
        </w:rPr>
        <w:t>Pava</w:t>
      </w:r>
      <w:r w:rsidR="00583585" w:rsidRPr="00BE0EFA">
        <w:rPr>
          <w:rFonts w:ascii="Times New Roman" w:hAnsi="Times New Roman"/>
          <w:noProof/>
          <w:lang w:val="ro-RO"/>
        </w:rPr>
        <w:t>je, suprafețe de călcare</w:t>
      </w:r>
    </w:p>
    <w:p w:rsidR="009F5F35" w:rsidRPr="00BE0EFA" w:rsidRDefault="009F5F35"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prin modul de realizare a pavajelor se va asigura accesibilitatea pentru toate grupele de vârstă, persoane cu vedere redusă, persoane cu dizabilități, în condiții de siguranță și independent (iluminat public diferențiat, marcaj tactil, signaletică sonoră, borduri joase/borduri la nivel cu carosabilul);</w:t>
      </w:r>
    </w:p>
    <w:p w:rsidR="009F5F35" w:rsidRPr="00BE0EFA" w:rsidRDefault="009F5F35"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eliberarea zonei de construcțiile/cutii tehnice supraterane şi trecerea lor în subteran;</w:t>
      </w:r>
    </w:p>
    <w:p w:rsidR="009F5F35" w:rsidRPr="00BE0EFA" w:rsidRDefault="009F5F35"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 xml:space="preserve">pavajele realizate în proximitatea clădirilor se vor realiza din piatră cubică </w:t>
      </w:r>
    </w:p>
    <w:p w:rsidR="009F5F35" w:rsidRPr="00BE0EFA" w:rsidRDefault="009F5F35"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la plantarea arborilor vor fi amplasate grilaje rezistente la trafic ușor în jurul acestora;</w:t>
      </w:r>
    </w:p>
    <w:p w:rsidR="00583585" w:rsidRPr="00BE0EFA" w:rsidRDefault="009F5F35"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la alegerea soluțiilor se va avea în vedere conservarea caracterului specific fiecărei zone şi a elementelor materiale şi spirituale care exprimă ace</w:t>
      </w:r>
      <w:r w:rsidR="005F3E98" w:rsidRPr="00BE0EFA">
        <w:rPr>
          <w:rFonts w:ascii="Times New Roman" w:hAnsi="Times New Roman"/>
          <w:noProof/>
          <w:lang w:val="ro-RO"/>
        </w:rPr>
        <w:t>st caracter.</w:t>
      </w:r>
    </w:p>
    <w:p w:rsidR="00583585" w:rsidRPr="00BE0EFA" w:rsidRDefault="00583585" w:rsidP="0091418F">
      <w:pPr>
        <w:keepNext/>
        <w:widowControl w:val="0"/>
        <w:autoSpaceDE w:val="0"/>
        <w:autoSpaceDN w:val="0"/>
        <w:ind w:left="1134"/>
        <w:jc w:val="both"/>
        <w:rPr>
          <w:noProof/>
        </w:rPr>
      </w:pPr>
    </w:p>
    <w:p w:rsidR="009F5F35" w:rsidRPr="00BE0EFA" w:rsidRDefault="009F5F35" w:rsidP="0091418F">
      <w:pPr>
        <w:pStyle w:val="ListParagraph"/>
        <w:keepNext/>
        <w:widowControl w:val="0"/>
        <w:numPr>
          <w:ilvl w:val="0"/>
          <w:numId w:val="27"/>
        </w:numPr>
        <w:autoSpaceDE w:val="0"/>
        <w:autoSpaceDN w:val="0"/>
        <w:spacing w:before="240" w:after="0"/>
        <w:ind w:left="1134" w:hanging="567"/>
        <w:jc w:val="both"/>
        <w:rPr>
          <w:rFonts w:ascii="Times New Roman" w:hAnsi="Times New Roman"/>
          <w:noProof/>
          <w:lang w:val="ro-RO"/>
        </w:rPr>
      </w:pPr>
      <w:r w:rsidRPr="00BE0EFA">
        <w:rPr>
          <w:rFonts w:ascii="Times New Roman" w:hAnsi="Times New Roman"/>
          <w:noProof/>
          <w:lang w:val="ro-RO"/>
        </w:rPr>
        <w:t>Mobilier urban</w:t>
      </w:r>
      <w:r w:rsidR="00583585" w:rsidRPr="00BE0EFA">
        <w:rPr>
          <w:rFonts w:ascii="Times New Roman" w:hAnsi="Times New Roman"/>
          <w:noProof/>
          <w:lang w:val="ro-RO"/>
        </w:rPr>
        <w:t xml:space="preserve"> și marcaj vizual</w:t>
      </w:r>
    </w:p>
    <w:p w:rsidR="009F5F35"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 xml:space="preserve">se va implementa un concept unitar general și adecvat punctual fiecărui amplasament </w:t>
      </w:r>
    </w:p>
    <w:p w:rsidR="009F5F35"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marcajul vizual va fi realizat în baza conceptului agreat</w:t>
      </w:r>
    </w:p>
    <w:p w:rsidR="009F5F35"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caracteristicile mobilierului urban vor fi ghidate de principiul durabilității – capacitatea de a rezista în timp prin materialele și soluțiile propuse, având de asemenea un caracter inovativ prin design contemporan, funcţional;</w:t>
      </w:r>
    </w:p>
    <w:p w:rsidR="009F5F35"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se va avea în vedere capacitatea a face față vandalismului urban;</w:t>
      </w:r>
    </w:p>
    <w:p w:rsidR="009F5F35"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alegerea mobilierului va avea în vedere calitatea estetică precum și compatibilitatea lor cu cadrul construit al zonei de implementare;</w:t>
      </w:r>
    </w:p>
    <w:p w:rsidR="009F5F35"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garanția pentru dotări va fi de cel puțin 5 ani și montarea se va face sub cota de călcare în fundații;</w:t>
      </w:r>
    </w:p>
    <w:p w:rsidR="003729FC" w:rsidRPr="00BE0EFA" w:rsidRDefault="009F5F35"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modelele specifice pentru obiectele de mobilier urban vor fi selectate de beneficiar în urma propunerii echipei de proiectare și în baza conceptului agreat.</w:t>
      </w:r>
      <w:r w:rsidR="003729FC" w:rsidRPr="00BE0EFA">
        <w:rPr>
          <w:rFonts w:ascii="Times New Roman" w:hAnsi="Times New Roman"/>
          <w:noProof/>
          <w:lang w:val="ro-RO"/>
        </w:rPr>
        <w:t>cod în Lista monumentelor istorice, după caz</w:t>
      </w:r>
      <w:r w:rsidR="005F3E98" w:rsidRPr="00BE0EFA">
        <w:rPr>
          <w:rFonts w:ascii="Times New Roman" w:hAnsi="Times New Roman"/>
          <w:noProof/>
          <w:lang w:val="ro-RO"/>
        </w:rPr>
        <w:t>.</w:t>
      </w:r>
    </w:p>
    <w:p w:rsidR="00583585" w:rsidRPr="00BE0EFA" w:rsidRDefault="00583585" w:rsidP="0091418F">
      <w:pPr>
        <w:keepNext/>
        <w:widowControl w:val="0"/>
        <w:autoSpaceDE w:val="0"/>
        <w:autoSpaceDN w:val="0"/>
        <w:ind w:left="1134"/>
        <w:jc w:val="both"/>
        <w:rPr>
          <w:noProof/>
        </w:rPr>
      </w:pPr>
    </w:p>
    <w:p w:rsidR="005F3E98" w:rsidRPr="00BE0EFA" w:rsidRDefault="00E81342" w:rsidP="0091418F">
      <w:pPr>
        <w:pStyle w:val="ListParagraph"/>
        <w:keepNext/>
        <w:widowControl w:val="0"/>
        <w:numPr>
          <w:ilvl w:val="0"/>
          <w:numId w:val="27"/>
        </w:numPr>
        <w:autoSpaceDE w:val="0"/>
        <w:autoSpaceDN w:val="0"/>
        <w:spacing w:before="240" w:after="0"/>
        <w:ind w:left="1134" w:hanging="567"/>
        <w:jc w:val="both"/>
        <w:rPr>
          <w:rFonts w:ascii="Times New Roman" w:hAnsi="Times New Roman"/>
          <w:noProof/>
          <w:lang w:val="ro-RO"/>
        </w:rPr>
      </w:pPr>
      <w:r w:rsidRPr="00BE0EFA">
        <w:rPr>
          <w:rFonts w:ascii="Times New Roman" w:hAnsi="Times New Roman"/>
          <w:noProof/>
          <w:lang w:val="ro-RO"/>
        </w:rPr>
        <w:t>Iluminat ambiental</w:t>
      </w:r>
    </w:p>
    <w:p w:rsidR="005F3E98" w:rsidRPr="00BE0EFA" w:rsidRDefault="0026277A"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iluminatul se va stabili î</w:t>
      </w:r>
      <w:r w:rsidR="005F3E98" w:rsidRPr="00BE0EFA">
        <w:rPr>
          <w:rFonts w:ascii="Times New Roman" w:hAnsi="Times New Roman"/>
          <w:noProof/>
          <w:lang w:val="ro-RO"/>
        </w:rPr>
        <w:t>n baza unor soluții și proiecte luminotehnice ce se vor baza pe conceptul propus</w:t>
      </w:r>
    </w:p>
    <w:p w:rsidR="005F3E98" w:rsidRPr="00BE0EFA" w:rsidRDefault="005F3E98"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 xml:space="preserve">se va acorda o atenție deosebită iluminatului ambiental care va face parte din </w:t>
      </w:r>
      <w:r w:rsidR="0091418F" w:rsidRPr="00BE0EFA">
        <w:rPr>
          <w:rFonts w:ascii="Times New Roman" w:hAnsi="Times New Roman"/>
          <w:noProof/>
          <w:lang w:val="ro-RO"/>
        </w:rPr>
        <w:t>c</w:t>
      </w:r>
      <w:r w:rsidRPr="00BE0EFA">
        <w:rPr>
          <w:rFonts w:ascii="Times New Roman" w:hAnsi="Times New Roman"/>
          <w:noProof/>
          <w:lang w:val="ro-RO"/>
        </w:rPr>
        <w:t>onceptul de traseu și de memorare a diferitelor zile ale Revoluției din Decembrie 1989</w:t>
      </w:r>
      <w:r w:rsidR="0026277A" w:rsidRPr="00BE0EFA">
        <w:rPr>
          <w:rFonts w:ascii="Times New Roman" w:hAnsi="Times New Roman"/>
          <w:noProof/>
          <w:lang w:val="ro-RO"/>
        </w:rPr>
        <w:t>;</w:t>
      </w:r>
    </w:p>
    <w:p w:rsidR="005F3E98" w:rsidRPr="00BE0EFA" w:rsidRDefault="005F3E98"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 xml:space="preserve">se va folosi o soluție automatizată care poate fi utilizată în corelare cu posibile forme de expresie audio vizuale </w:t>
      </w:r>
    </w:p>
    <w:p w:rsidR="005F3E98" w:rsidRPr="00BE0EFA" w:rsidRDefault="005F3E98" w:rsidP="0091418F">
      <w:pPr>
        <w:pStyle w:val="ListParagraph"/>
        <w:keepNext/>
        <w:widowControl w:val="0"/>
        <w:numPr>
          <w:ilvl w:val="0"/>
          <w:numId w:val="40"/>
        </w:numPr>
        <w:autoSpaceDE w:val="0"/>
        <w:autoSpaceDN w:val="0"/>
        <w:spacing w:before="240" w:after="0" w:line="240" w:lineRule="auto"/>
        <w:ind w:left="1134" w:hanging="567"/>
        <w:jc w:val="both"/>
        <w:rPr>
          <w:rFonts w:ascii="Times New Roman" w:hAnsi="Times New Roman"/>
          <w:noProof/>
          <w:lang w:val="ro-RO"/>
        </w:rPr>
      </w:pPr>
      <w:r w:rsidRPr="00BE0EFA">
        <w:rPr>
          <w:rFonts w:ascii="Times New Roman" w:hAnsi="Times New Roman"/>
          <w:noProof/>
          <w:lang w:val="ro-RO"/>
        </w:rPr>
        <w:t>pe anumite amplasamente de mici dimensiuni se vor realiza studii de iluminat public complete (Piața Mari</w:t>
      </w:r>
      <w:r w:rsidR="00583585" w:rsidRPr="00BE0EFA">
        <w:rPr>
          <w:rFonts w:ascii="Times New Roman" w:hAnsi="Times New Roman"/>
          <w:noProof/>
          <w:lang w:val="ro-RO"/>
        </w:rPr>
        <w:t>a, Sediul Consiliului județean).</w:t>
      </w:r>
    </w:p>
    <w:p w:rsidR="00583585" w:rsidRPr="00BE0EFA" w:rsidRDefault="00583585" w:rsidP="0091418F">
      <w:pPr>
        <w:keepNext/>
        <w:widowControl w:val="0"/>
        <w:autoSpaceDE w:val="0"/>
        <w:autoSpaceDN w:val="0"/>
        <w:spacing w:before="240"/>
        <w:ind w:left="1134"/>
        <w:jc w:val="both"/>
        <w:rPr>
          <w:noProof/>
        </w:rPr>
      </w:pPr>
    </w:p>
    <w:p w:rsidR="005F3E98" w:rsidRPr="00BE0EFA" w:rsidRDefault="005F3E98" w:rsidP="0091418F">
      <w:pPr>
        <w:pStyle w:val="ListParagraph"/>
        <w:keepNext/>
        <w:widowControl w:val="0"/>
        <w:numPr>
          <w:ilvl w:val="0"/>
          <w:numId w:val="27"/>
        </w:numPr>
        <w:autoSpaceDE w:val="0"/>
        <w:autoSpaceDN w:val="0"/>
        <w:spacing w:after="0"/>
        <w:ind w:left="1134" w:hanging="567"/>
        <w:jc w:val="both"/>
        <w:rPr>
          <w:rFonts w:ascii="Times New Roman" w:hAnsi="Times New Roman"/>
          <w:noProof/>
          <w:lang w:val="ro-RO"/>
        </w:rPr>
      </w:pPr>
      <w:r w:rsidRPr="00BE0EFA">
        <w:rPr>
          <w:rFonts w:ascii="Times New Roman" w:hAnsi="Times New Roman"/>
          <w:noProof/>
          <w:lang w:val="ro-RO"/>
        </w:rPr>
        <w:t>Mijloace Audio Video, AR, VR</w:t>
      </w:r>
    </w:p>
    <w:p w:rsidR="005F3E98" w:rsidRPr="00BE0EFA" w:rsidRDefault="005F3E98"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se va folosi codare de tip low code</w:t>
      </w:r>
    </w:p>
    <w:p w:rsidR="005F3E98" w:rsidRPr="00BE0EFA" w:rsidRDefault="005F3E98"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 xml:space="preserve">se vor utiliza sisteme minim complexe; </w:t>
      </w:r>
    </w:p>
    <w:p w:rsidR="005F3E98" w:rsidRPr="00BE0EFA" w:rsidRDefault="005F3E98"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se va asigura posibilitatea de a introduce conținut digital ulterior;</w:t>
      </w:r>
    </w:p>
    <w:p w:rsidR="005F3E98" w:rsidRPr="00BE0EFA" w:rsidRDefault="005F3E98"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se vor utiliza de preferință mijloace de prezentare a informației externe si autonome ale utilizatorului;</w:t>
      </w:r>
    </w:p>
    <w:p w:rsidR="006B403B" w:rsidRPr="00BE0EFA" w:rsidRDefault="005F3E98" w:rsidP="0091418F">
      <w:pPr>
        <w:pStyle w:val="ListParagraph"/>
        <w:keepNext/>
        <w:widowControl w:val="0"/>
        <w:numPr>
          <w:ilvl w:val="0"/>
          <w:numId w:val="40"/>
        </w:numPr>
        <w:autoSpaceDE w:val="0"/>
        <w:autoSpaceDN w:val="0"/>
        <w:spacing w:after="0" w:line="240" w:lineRule="auto"/>
        <w:ind w:left="1134" w:hanging="567"/>
        <w:jc w:val="both"/>
        <w:rPr>
          <w:rFonts w:ascii="Times New Roman" w:hAnsi="Times New Roman"/>
          <w:noProof/>
          <w:lang w:val="ro-RO"/>
        </w:rPr>
      </w:pPr>
      <w:r w:rsidRPr="00BE0EFA">
        <w:rPr>
          <w:rFonts w:ascii="Times New Roman" w:hAnsi="Times New Roman"/>
          <w:noProof/>
          <w:lang w:val="ro-RO"/>
        </w:rPr>
        <w:t>se va realiza în baza conceptului agreat de comun acord care va conține modul de prezentare, modul de vizualizare, relația privitor, trecător – conținut etc.</w:t>
      </w:r>
    </w:p>
    <w:p w:rsidR="006B403B" w:rsidRPr="00BE0EFA" w:rsidRDefault="006B403B" w:rsidP="006B403B">
      <w:pPr>
        <w:jc w:val="both"/>
        <w:rPr>
          <w:b/>
          <w:sz w:val="22"/>
          <w:szCs w:val="22"/>
          <w:lang w:eastAsia="ro-RO"/>
        </w:rPr>
      </w:pPr>
    </w:p>
    <w:p w:rsidR="00FA63C0" w:rsidRPr="00BE0EFA" w:rsidRDefault="00FA63C0" w:rsidP="00FA63C0">
      <w:pPr>
        <w:jc w:val="both"/>
        <w:rPr>
          <w:sz w:val="22"/>
          <w:szCs w:val="22"/>
        </w:rPr>
      </w:pPr>
      <w:r w:rsidRPr="00BE0EFA">
        <w:rPr>
          <w:sz w:val="22"/>
          <w:szCs w:val="22"/>
        </w:rPr>
        <w:lastRenderedPageBreak/>
        <w:t xml:space="preserve"> </w:t>
      </w:r>
      <w:r w:rsidRPr="00BE0EFA">
        <w:rPr>
          <w:sz w:val="22"/>
          <w:szCs w:val="22"/>
        </w:rPr>
        <w:tab/>
        <w:t xml:space="preserve">Realizarea investiției va contribui la atingerea obiectivelor de investiții și reforme prevăzute în </w:t>
      </w:r>
      <w:r w:rsidRPr="00BE0EFA">
        <w:rPr>
          <w:i/>
          <w:sz w:val="22"/>
          <w:szCs w:val="22"/>
        </w:rPr>
        <w:t>Pilonul IV Coeziune socială și teritorială, Componenta C11. Turism și Cultură din PNRR</w:t>
      </w:r>
      <w:r w:rsidRPr="00BE0EFA">
        <w:rPr>
          <w:sz w:val="22"/>
          <w:szCs w:val="22"/>
        </w:rPr>
        <w:t xml:space="preserve"> reprezentând tranziția verde și digitală la nivelul localităților, turism și cultură.</w:t>
      </w:r>
    </w:p>
    <w:p w:rsidR="006B403B" w:rsidRPr="00BE0EFA" w:rsidRDefault="00FA63C0" w:rsidP="00FA63C0">
      <w:pPr>
        <w:jc w:val="both"/>
        <w:rPr>
          <w:b/>
          <w:sz w:val="22"/>
          <w:szCs w:val="22"/>
        </w:rPr>
      </w:pPr>
      <w:r w:rsidRPr="00BE0EFA">
        <w:rPr>
          <w:sz w:val="22"/>
          <w:szCs w:val="22"/>
        </w:rPr>
        <w:t>Componenta C11. Turism și Cultură este orientată spre valorificarea patrimoniului cultural, construit și natural, prin turism. Sunt cuprinse măsuri referitoare la dezvoltarea teritorială durabilă și sporirea gradului de coeziune, creșterea calității vieții și dezvoltare economică în zonele rurale și defavorizate, precum și la crearea de piață de desfacere pentru produsele locale și creșterea nivelului de branding local. Măsurile propuse vizează  valorificarea strategică a patrimoniului cultural ca avantaj competitiv național. Totodată, investițiile și reformele au în vedere creșterea capacității instituționale de susținere și promovare a creației culturale, construirea unui sistem coerent de finanțare a culturii și reducerea decalajelor de acces la cultură dintre rural și urbanul mare.</w:t>
      </w:r>
    </w:p>
    <w:p w:rsidR="006B403B" w:rsidRPr="00BE0EFA" w:rsidRDefault="006B403B" w:rsidP="006B403B">
      <w:pPr>
        <w:jc w:val="both"/>
        <w:rPr>
          <w:sz w:val="22"/>
          <w:szCs w:val="22"/>
        </w:rPr>
      </w:pPr>
    </w:p>
    <w:p w:rsidR="005F3E98" w:rsidRPr="00BE0EFA" w:rsidRDefault="005F3E98" w:rsidP="006B403B">
      <w:pPr>
        <w:jc w:val="both"/>
        <w:rPr>
          <w:sz w:val="22"/>
          <w:szCs w:val="22"/>
        </w:rPr>
      </w:pPr>
    </w:p>
    <w:p w:rsidR="005F3E98" w:rsidRPr="00BE0EFA" w:rsidRDefault="0026277A" w:rsidP="0026277A">
      <w:pPr>
        <w:jc w:val="center"/>
        <w:rPr>
          <w:sz w:val="22"/>
          <w:szCs w:val="22"/>
        </w:rPr>
      </w:pPr>
      <w:r w:rsidRPr="00BE0EFA">
        <w:rPr>
          <w:sz w:val="22"/>
          <w:szCs w:val="22"/>
        </w:rPr>
        <w:t>Direcția Incubator de Proiecte</w:t>
      </w:r>
    </w:p>
    <w:p w:rsidR="0026277A" w:rsidRPr="00BE0EFA" w:rsidRDefault="0026277A" w:rsidP="0026277A">
      <w:pPr>
        <w:jc w:val="center"/>
        <w:rPr>
          <w:sz w:val="22"/>
          <w:szCs w:val="22"/>
        </w:rPr>
      </w:pPr>
      <w:r w:rsidRPr="00BE0EFA">
        <w:rPr>
          <w:sz w:val="22"/>
          <w:szCs w:val="22"/>
        </w:rPr>
        <w:t>Serviciul Documentații Proiecte</w:t>
      </w:r>
    </w:p>
    <w:p w:rsidR="0026277A" w:rsidRPr="00BE0EFA" w:rsidRDefault="0026277A" w:rsidP="006B403B">
      <w:pPr>
        <w:jc w:val="both"/>
        <w:rPr>
          <w:sz w:val="22"/>
          <w:szCs w:val="22"/>
        </w:rPr>
      </w:pPr>
    </w:p>
    <w:p w:rsidR="0026277A" w:rsidRPr="00BE0EFA" w:rsidRDefault="0026277A" w:rsidP="006B403B">
      <w:pPr>
        <w:jc w:val="both"/>
        <w:rPr>
          <w:sz w:val="22"/>
          <w:szCs w:val="22"/>
        </w:rPr>
      </w:pPr>
    </w:p>
    <w:p w:rsidR="0026277A" w:rsidRPr="00BE0EFA" w:rsidRDefault="0026277A" w:rsidP="006B403B">
      <w:pPr>
        <w:jc w:val="both"/>
        <w:rPr>
          <w:sz w:val="22"/>
          <w:szCs w:val="22"/>
        </w:rPr>
      </w:pPr>
    </w:p>
    <w:tbl>
      <w:tblPr>
        <w:tblW w:w="9800" w:type="dxa"/>
        <w:tblLook w:val="04A0"/>
      </w:tblPr>
      <w:tblGrid>
        <w:gridCol w:w="3794"/>
        <w:gridCol w:w="3544"/>
        <w:gridCol w:w="2462"/>
      </w:tblGrid>
      <w:tr w:rsidR="005F3E98" w:rsidRPr="00BE0EFA" w:rsidTr="005F3E98">
        <w:trPr>
          <w:trHeight w:val="232"/>
        </w:trPr>
        <w:tc>
          <w:tcPr>
            <w:tcW w:w="3794" w:type="dxa"/>
          </w:tcPr>
          <w:p w:rsidR="005F3E98" w:rsidRPr="00BE0EFA" w:rsidRDefault="005F3E98" w:rsidP="005F3E98">
            <w:pPr>
              <w:jc w:val="both"/>
              <w:rPr>
                <w:sz w:val="22"/>
                <w:szCs w:val="22"/>
              </w:rPr>
            </w:pPr>
            <w:r w:rsidRPr="00BE0EFA">
              <w:rPr>
                <w:sz w:val="22"/>
                <w:szCs w:val="22"/>
              </w:rPr>
              <w:t>Director Executiv</w:t>
            </w:r>
          </w:p>
        </w:tc>
        <w:tc>
          <w:tcPr>
            <w:tcW w:w="3544" w:type="dxa"/>
          </w:tcPr>
          <w:p w:rsidR="005F3E98" w:rsidRPr="00BE0EFA" w:rsidRDefault="005F3E98" w:rsidP="00443C2E">
            <w:pPr>
              <w:jc w:val="both"/>
              <w:rPr>
                <w:sz w:val="22"/>
                <w:szCs w:val="22"/>
              </w:rPr>
            </w:pPr>
            <w:r w:rsidRPr="00BE0EFA">
              <w:rPr>
                <w:sz w:val="22"/>
                <w:szCs w:val="22"/>
              </w:rPr>
              <w:t>Șef Serviciu</w:t>
            </w:r>
            <w:r w:rsidR="0026277A" w:rsidRPr="00BE0EFA">
              <w:rPr>
                <w:sz w:val="22"/>
                <w:szCs w:val="22"/>
              </w:rPr>
              <w:t xml:space="preserve"> SDP</w:t>
            </w:r>
          </w:p>
        </w:tc>
        <w:tc>
          <w:tcPr>
            <w:tcW w:w="2462" w:type="dxa"/>
          </w:tcPr>
          <w:p w:rsidR="005F3E98" w:rsidRPr="00BE0EFA" w:rsidRDefault="005F3E98" w:rsidP="005F3E98">
            <w:pPr>
              <w:jc w:val="both"/>
              <w:rPr>
                <w:sz w:val="22"/>
                <w:szCs w:val="22"/>
              </w:rPr>
            </w:pPr>
            <w:r w:rsidRPr="00BE0EFA">
              <w:rPr>
                <w:sz w:val="22"/>
                <w:szCs w:val="22"/>
              </w:rPr>
              <w:t>Consilier</w:t>
            </w:r>
            <w:r w:rsidR="0026277A" w:rsidRPr="00BE0EFA">
              <w:rPr>
                <w:sz w:val="22"/>
                <w:szCs w:val="22"/>
              </w:rPr>
              <w:t xml:space="preserve"> SDP</w:t>
            </w:r>
          </w:p>
        </w:tc>
      </w:tr>
      <w:tr w:rsidR="005F3E98" w:rsidRPr="00BE0EFA" w:rsidTr="005F3E98">
        <w:trPr>
          <w:trHeight w:val="305"/>
        </w:trPr>
        <w:tc>
          <w:tcPr>
            <w:tcW w:w="3794" w:type="dxa"/>
          </w:tcPr>
          <w:p w:rsidR="005F3E98" w:rsidRPr="00BE0EFA" w:rsidRDefault="005F3E98" w:rsidP="005F3E98">
            <w:pPr>
              <w:jc w:val="both"/>
              <w:rPr>
                <w:sz w:val="22"/>
                <w:szCs w:val="22"/>
              </w:rPr>
            </w:pPr>
            <w:r w:rsidRPr="00BE0EFA">
              <w:rPr>
                <w:sz w:val="22"/>
                <w:szCs w:val="22"/>
              </w:rPr>
              <w:t>Adriana DEACONU</w:t>
            </w:r>
          </w:p>
        </w:tc>
        <w:tc>
          <w:tcPr>
            <w:tcW w:w="3544" w:type="dxa"/>
          </w:tcPr>
          <w:p w:rsidR="005F3E98" w:rsidRPr="00BE0EFA" w:rsidRDefault="005F3E98" w:rsidP="005F3E98">
            <w:pPr>
              <w:jc w:val="both"/>
              <w:rPr>
                <w:sz w:val="22"/>
                <w:szCs w:val="22"/>
              </w:rPr>
            </w:pPr>
            <w:r w:rsidRPr="00BE0EFA">
              <w:rPr>
                <w:sz w:val="22"/>
                <w:szCs w:val="22"/>
              </w:rPr>
              <w:t>Ing. Adina ȘUIU</w:t>
            </w:r>
          </w:p>
        </w:tc>
        <w:tc>
          <w:tcPr>
            <w:tcW w:w="2462" w:type="dxa"/>
          </w:tcPr>
          <w:p w:rsidR="005F3E98" w:rsidRPr="00BE0EFA" w:rsidRDefault="005F3E98" w:rsidP="005F3E98">
            <w:pPr>
              <w:jc w:val="both"/>
              <w:rPr>
                <w:sz w:val="22"/>
                <w:szCs w:val="22"/>
              </w:rPr>
            </w:pPr>
            <w:r w:rsidRPr="00BE0EFA">
              <w:rPr>
                <w:sz w:val="22"/>
                <w:szCs w:val="22"/>
              </w:rPr>
              <w:t>Arh. Andreea PĂTROI</w:t>
            </w:r>
          </w:p>
        </w:tc>
      </w:tr>
    </w:tbl>
    <w:p w:rsidR="006B403B" w:rsidRPr="00BE0EFA" w:rsidRDefault="006B403B" w:rsidP="006B403B">
      <w:pPr>
        <w:jc w:val="both"/>
        <w:rPr>
          <w:sz w:val="22"/>
          <w:szCs w:val="22"/>
        </w:rPr>
      </w:pPr>
    </w:p>
    <w:p w:rsidR="006B403B" w:rsidRPr="00BE0EFA" w:rsidRDefault="006B403B" w:rsidP="006B403B">
      <w:pPr>
        <w:jc w:val="both"/>
        <w:rPr>
          <w:sz w:val="22"/>
          <w:szCs w:val="22"/>
        </w:rPr>
      </w:pPr>
    </w:p>
    <w:p w:rsidR="006B403B" w:rsidRPr="00BE0EFA" w:rsidRDefault="006B403B" w:rsidP="006B403B">
      <w:pPr>
        <w:jc w:val="both"/>
        <w:rPr>
          <w:sz w:val="22"/>
          <w:szCs w:val="22"/>
        </w:rPr>
      </w:pPr>
    </w:p>
    <w:p w:rsidR="006B403B" w:rsidRPr="00BE0EFA" w:rsidRDefault="00187808" w:rsidP="006B403B">
      <w:pPr>
        <w:tabs>
          <w:tab w:val="left" w:pos="3720"/>
        </w:tabs>
        <w:jc w:val="both"/>
        <w:rPr>
          <w:sz w:val="22"/>
          <w:szCs w:val="22"/>
        </w:rPr>
      </w:pPr>
      <w:r w:rsidRPr="00BE0EFA">
        <w:rPr>
          <w:sz w:val="22"/>
          <w:szCs w:val="22"/>
        </w:rPr>
        <w:t xml:space="preserve"> </w:t>
      </w:r>
    </w:p>
    <w:p w:rsidR="00ED6883" w:rsidRPr="00BE0EFA" w:rsidRDefault="00ED6883" w:rsidP="006B403B">
      <w:pPr>
        <w:rPr>
          <w:szCs w:val="22"/>
        </w:rPr>
      </w:pPr>
    </w:p>
    <w:sectPr w:rsidR="00ED6883" w:rsidRPr="00BE0EFA" w:rsidSect="002C1523">
      <w:pgSz w:w="11907" w:h="16840" w:code="9"/>
      <w:pgMar w:top="1135" w:right="1134"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2C7" w:rsidRDefault="003A62C7" w:rsidP="00D23031">
      <w:r>
        <w:separator/>
      </w:r>
    </w:p>
  </w:endnote>
  <w:endnote w:type="continuationSeparator" w:id="1">
    <w:p w:rsidR="003A62C7" w:rsidRDefault="003A62C7" w:rsidP="00D23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2C7" w:rsidRDefault="003A62C7" w:rsidP="00D23031">
      <w:r>
        <w:separator/>
      </w:r>
    </w:p>
  </w:footnote>
  <w:footnote w:type="continuationSeparator" w:id="1">
    <w:p w:rsidR="003A62C7" w:rsidRDefault="003A62C7"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7178"/>
    <w:multiLevelType w:val="hybridMultilevel"/>
    <w:tmpl w:val="D23AB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AD6DFC"/>
    <w:multiLevelType w:val="hybridMultilevel"/>
    <w:tmpl w:val="8F1A7D54"/>
    <w:lvl w:ilvl="0" w:tplc="11D6A2EA">
      <w:numFmt w:val="bullet"/>
      <w:lvlText w:val="-"/>
      <w:lvlJc w:val="left"/>
      <w:pPr>
        <w:ind w:left="720" w:hanging="360"/>
      </w:pPr>
      <w:rPr>
        <w:rFonts w:ascii="Times New Roman" w:eastAsia="Calibri"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21D1C"/>
    <w:multiLevelType w:val="hybridMultilevel"/>
    <w:tmpl w:val="2E667484"/>
    <w:lvl w:ilvl="0" w:tplc="DF2E71AC">
      <w:start w:val="1"/>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nsid w:val="24591657"/>
    <w:multiLevelType w:val="hybridMultilevel"/>
    <w:tmpl w:val="2E5615D4"/>
    <w:lvl w:ilvl="0" w:tplc="4950F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35116"/>
    <w:multiLevelType w:val="hybridMultilevel"/>
    <w:tmpl w:val="CFA44420"/>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95B2F"/>
    <w:multiLevelType w:val="hybridMultilevel"/>
    <w:tmpl w:val="BA54CF62"/>
    <w:lvl w:ilvl="0" w:tplc="74A432F8">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203668F"/>
    <w:multiLevelType w:val="hybridMultilevel"/>
    <w:tmpl w:val="956026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3BC0188"/>
    <w:multiLevelType w:val="hybridMultilevel"/>
    <w:tmpl w:val="36360474"/>
    <w:lvl w:ilvl="0" w:tplc="388C9B5E">
      <w:start w:val="1"/>
      <w:numFmt w:val="lowerLetter"/>
      <w:lvlText w:val="%1)"/>
      <w:lvlJc w:val="left"/>
      <w:pPr>
        <w:ind w:left="1353"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C1000F0"/>
    <w:multiLevelType w:val="hybridMultilevel"/>
    <w:tmpl w:val="5420B4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27E13AA"/>
    <w:multiLevelType w:val="hybridMultilevel"/>
    <w:tmpl w:val="29506C46"/>
    <w:lvl w:ilvl="0" w:tplc="04180001">
      <w:start w:val="1"/>
      <w:numFmt w:val="bullet"/>
      <w:lvlText w:val=""/>
      <w:lvlJc w:val="left"/>
      <w:pPr>
        <w:ind w:left="1872" w:hanging="360"/>
      </w:pPr>
      <w:rPr>
        <w:rFonts w:ascii="Symbol" w:hAnsi="Symbol" w:hint="default"/>
      </w:rPr>
    </w:lvl>
    <w:lvl w:ilvl="1" w:tplc="04180003" w:tentative="1">
      <w:start w:val="1"/>
      <w:numFmt w:val="bullet"/>
      <w:lvlText w:val="o"/>
      <w:lvlJc w:val="left"/>
      <w:pPr>
        <w:ind w:left="2592" w:hanging="360"/>
      </w:pPr>
      <w:rPr>
        <w:rFonts w:ascii="Courier New" w:hAnsi="Courier New" w:cs="Courier New" w:hint="default"/>
      </w:rPr>
    </w:lvl>
    <w:lvl w:ilvl="2" w:tplc="04180005" w:tentative="1">
      <w:start w:val="1"/>
      <w:numFmt w:val="bullet"/>
      <w:lvlText w:val=""/>
      <w:lvlJc w:val="left"/>
      <w:pPr>
        <w:ind w:left="3312" w:hanging="360"/>
      </w:pPr>
      <w:rPr>
        <w:rFonts w:ascii="Wingdings" w:hAnsi="Wingdings" w:hint="default"/>
      </w:rPr>
    </w:lvl>
    <w:lvl w:ilvl="3" w:tplc="04180001" w:tentative="1">
      <w:start w:val="1"/>
      <w:numFmt w:val="bullet"/>
      <w:lvlText w:val=""/>
      <w:lvlJc w:val="left"/>
      <w:pPr>
        <w:ind w:left="4032" w:hanging="360"/>
      </w:pPr>
      <w:rPr>
        <w:rFonts w:ascii="Symbol" w:hAnsi="Symbol" w:hint="default"/>
      </w:rPr>
    </w:lvl>
    <w:lvl w:ilvl="4" w:tplc="04180003" w:tentative="1">
      <w:start w:val="1"/>
      <w:numFmt w:val="bullet"/>
      <w:lvlText w:val="o"/>
      <w:lvlJc w:val="left"/>
      <w:pPr>
        <w:ind w:left="4752" w:hanging="360"/>
      </w:pPr>
      <w:rPr>
        <w:rFonts w:ascii="Courier New" w:hAnsi="Courier New" w:cs="Courier New" w:hint="default"/>
      </w:rPr>
    </w:lvl>
    <w:lvl w:ilvl="5" w:tplc="04180005" w:tentative="1">
      <w:start w:val="1"/>
      <w:numFmt w:val="bullet"/>
      <w:lvlText w:val=""/>
      <w:lvlJc w:val="left"/>
      <w:pPr>
        <w:ind w:left="5472" w:hanging="360"/>
      </w:pPr>
      <w:rPr>
        <w:rFonts w:ascii="Wingdings" w:hAnsi="Wingdings" w:hint="default"/>
      </w:rPr>
    </w:lvl>
    <w:lvl w:ilvl="6" w:tplc="04180001" w:tentative="1">
      <w:start w:val="1"/>
      <w:numFmt w:val="bullet"/>
      <w:lvlText w:val=""/>
      <w:lvlJc w:val="left"/>
      <w:pPr>
        <w:ind w:left="6192" w:hanging="360"/>
      </w:pPr>
      <w:rPr>
        <w:rFonts w:ascii="Symbol" w:hAnsi="Symbol" w:hint="default"/>
      </w:rPr>
    </w:lvl>
    <w:lvl w:ilvl="7" w:tplc="04180003" w:tentative="1">
      <w:start w:val="1"/>
      <w:numFmt w:val="bullet"/>
      <w:lvlText w:val="o"/>
      <w:lvlJc w:val="left"/>
      <w:pPr>
        <w:ind w:left="6912" w:hanging="360"/>
      </w:pPr>
      <w:rPr>
        <w:rFonts w:ascii="Courier New" w:hAnsi="Courier New" w:cs="Courier New" w:hint="default"/>
      </w:rPr>
    </w:lvl>
    <w:lvl w:ilvl="8" w:tplc="04180005" w:tentative="1">
      <w:start w:val="1"/>
      <w:numFmt w:val="bullet"/>
      <w:lvlText w:val=""/>
      <w:lvlJc w:val="left"/>
      <w:pPr>
        <w:ind w:left="7632" w:hanging="360"/>
      </w:pPr>
      <w:rPr>
        <w:rFonts w:ascii="Wingdings" w:hAnsi="Wingdings" w:hint="default"/>
      </w:rPr>
    </w:lvl>
  </w:abstractNum>
  <w:abstractNum w:abstractNumId="1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4ED76373"/>
    <w:multiLevelType w:val="multilevel"/>
    <w:tmpl w:val="07A227C6"/>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1080" w:hanging="720"/>
      </w:pPr>
      <w:rPr>
        <w:rFonts w:ascii="Times New Roman" w:hAnsi="Times New Roman" w:hint="default"/>
        <w:b/>
        <w:i w:val="0"/>
        <w:u w:val="none"/>
      </w:rPr>
    </w:lvl>
    <w:lvl w:ilvl="2">
      <w:start w:val="1"/>
      <w:numFmt w:val="decimal"/>
      <w:isLgl/>
      <w:lvlText w:val="%1.%2.%3."/>
      <w:lvlJc w:val="left"/>
      <w:pPr>
        <w:ind w:left="1080" w:hanging="720"/>
      </w:pPr>
      <w:rPr>
        <w:rFonts w:ascii="Times New Roman" w:hAnsi="Times New Roman" w:hint="default"/>
        <w:u w:val="none"/>
      </w:rPr>
    </w:lvl>
    <w:lvl w:ilvl="3">
      <w:start w:val="1"/>
      <w:numFmt w:val="decimal"/>
      <w:isLgl/>
      <w:lvlText w:val="%1.%2.%3.%4."/>
      <w:lvlJc w:val="left"/>
      <w:pPr>
        <w:ind w:left="1440" w:hanging="1080"/>
      </w:pPr>
      <w:rPr>
        <w:rFonts w:ascii="Times New Roman" w:hAnsi="Times New Roman" w:hint="default"/>
        <w:u w:val="none"/>
      </w:rPr>
    </w:lvl>
    <w:lvl w:ilvl="4">
      <w:start w:val="1"/>
      <w:numFmt w:val="decimal"/>
      <w:isLgl/>
      <w:lvlText w:val="%1.%2.%3.%4.%5."/>
      <w:lvlJc w:val="left"/>
      <w:pPr>
        <w:ind w:left="1440" w:hanging="1080"/>
      </w:pPr>
      <w:rPr>
        <w:rFonts w:ascii="Times New Roman" w:hAnsi="Times New Roman" w:hint="default"/>
        <w:u w:val="none"/>
      </w:rPr>
    </w:lvl>
    <w:lvl w:ilvl="5">
      <w:start w:val="1"/>
      <w:numFmt w:val="decimal"/>
      <w:isLgl/>
      <w:lvlText w:val="%1.%2.%3.%4.%5.%6."/>
      <w:lvlJc w:val="left"/>
      <w:pPr>
        <w:ind w:left="1800" w:hanging="1440"/>
      </w:pPr>
      <w:rPr>
        <w:rFonts w:ascii="Times New Roman" w:hAnsi="Times New Roman" w:hint="default"/>
        <w:u w:val="none"/>
      </w:rPr>
    </w:lvl>
    <w:lvl w:ilvl="6">
      <w:start w:val="1"/>
      <w:numFmt w:val="decimal"/>
      <w:isLgl/>
      <w:lvlText w:val="%1.%2.%3.%4.%5.%6.%7."/>
      <w:lvlJc w:val="left"/>
      <w:pPr>
        <w:ind w:left="1800" w:hanging="1440"/>
      </w:pPr>
      <w:rPr>
        <w:rFonts w:ascii="Times New Roman" w:hAnsi="Times New Roman" w:hint="default"/>
        <w:u w:val="none"/>
      </w:rPr>
    </w:lvl>
    <w:lvl w:ilvl="7">
      <w:start w:val="1"/>
      <w:numFmt w:val="decimal"/>
      <w:isLgl/>
      <w:lvlText w:val="%1.%2.%3.%4.%5.%6.%7.%8."/>
      <w:lvlJc w:val="left"/>
      <w:pPr>
        <w:ind w:left="2160" w:hanging="1800"/>
      </w:pPr>
      <w:rPr>
        <w:rFonts w:ascii="Times New Roman" w:hAnsi="Times New Roman" w:hint="default"/>
        <w:u w:val="none"/>
      </w:rPr>
    </w:lvl>
    <w:lvl w:ilvl="8">
      <w:start w:val="1"/>
      <w:numFmt w:val="decimal"/>
      <w:isLgl/>
      <w:lvlText w:val="%1.%2.%3.%4.%5.%6.%7.%8.%9."/>
      <w:lvlJc w:val="left"/>
      <w:pPr>
        <w:ind w:left="2160" w:hanging="1800"/>
      </w:pPr>
      <w:rPr>
        <w:rFonts w:ascii="Times New Roman" w:hAnsi="Times New Roman" w:hint="default"/>
        <w:u w:val="none"/>
      </w:rPr>
    </w:lvl>
  </w:abstractNum>
  <w:abstractNum w:abstractNumId="14">
    <w:nsid w:val="5420235F"/>
    <w:multiLevelType w:val="hybridMultilevel"/>
    <w:tmpl w:val="33DA98A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612EFB"/>
    <w:multiLevelType w:val="hybridMultilevel"/>
    <w:tmpl w:val="16F04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nsid w:val="5D8466B7"/>
    <w:multiLevelType w:val="hybridMultilevel"/>
    <w:tmpl w:val="A7A27C68"/>
    <w:lvl w:ilvl="0" w:tplc="04180001">
      <w:start w:val="1"/>
      <w:numFmt w:val="bullet"/>
      <w:lvlText w:val=""/>
      <w:lvlJc w:val="left"/>
      <w:pPr>
        <w:ind w:left="1353"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654C575B"/>
    <w:multiLevelType w:val="hybridMultilevel"/>
    <w:tmpl w:val="E4BC9770"/>
    <w:lvl w:ilvl="0" w:tplc="08168F34">
      <w:start w:val="5"/>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7934C5F"/>
    <w:multiLevelType w:val="hybridMultilevel"/>
    <w:tmpl w:val="869A6292"/>
    <w:lvl w:ilvl="0" w:tplc="F9C6DFCA">
      <w:start w:val="1"/>
      <w:numFmt w:val="bullet"/>
      <w:lvlText w:val="-"/>
      <w:lvlJc w:val="left"/>
      <w:pPr>
        <w:ind w:left="720" w:hanging="360"/>
      </w:pPr>
      <w:rPr>
        <w:rFonts w:ascii="Times New Roman" w:eastAsiaTheme="minorHAnsi"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51A3DF7"/>
    <w:multiLevelType w:val="hybridMultilevel"/>
    <w:tmpl w:val="93386678"/>
    <w:lvl w:ilvl="0" w:tplc="5906C942">
      <w:start w:val="1"/>
      <w:numFmt w:val="lowerLetter"/>
      <w:lvlText w:val="%1)"/>
      <w:lvlJc w:val="left"/>
      <w:pPr>
        <w:ind w:left="2520" w:hanging="360"/>
      </w:pPr>
      <w:rPr>
        <w:rFonts w:hint="default"/>
        <w:u w:val="none"/>
      </w:r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26">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26D39"/>
    <w:multiLevelType w:val="multilevel"/>
    <w:tmpl w:val="087A7F76"/>
    <w:lvl w:ilvl="0">
      <w:start w:val="1"/>
      <w:numFmt w:val="decimal"/>
      <w:pStyle w:val="Heading2"/>
      <w:lvlText w:val="%1."/>
      <w:lvlJc w:val="left"/>
      <w:pPr>
        <w:ind w:left="360" w:hanging="360"/>
      </w:pPr>
    </w:lvl>
    <w:lvl w:ilvl="1">
      <w:start w:val="1"/>
      <w:numFmt w:val="decimal"/>
      <w:pStyle w:val="Formatvorlage1"/>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Formatvorlage2"/>
      <w:lvlText w:val="%1.%2.%3."/>
      <w:lvlJc w:val="left"/>
      <w:pPr>
        <w:ind w:left="1214" w:hanging="504"/>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A887DE2"/>
    <w:multiLevelType w:val="hybridMultilevel"/>
    <w:tmpl w:val="67D0FE50"/>
    <w:lvl w:ilvl="0" w:tplc="4950F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F5E67"/>
    <w:multiLevelType w:val="hybridMultilevel"/>
    <w:tmpl w:val="AF469DA2"/>
    <w:lvl w:ilvl="0" w:tplc="5D7E2FAC">
      <w:start w:val="1"/>
      <w:numFmt w:val="bullet"/>
      <w:lvlText w:val="-"/>
      <w:lvlJc w:val="left"/>
      <w:pPr>
        <w:ind w:left="2138" w:hanging="360"/>
      </w:pPr>
      <w:rPr>
        <w:rFonts w:ascii="Calibri" w:eastAsiaTheme="minorHAnsi" w:hAnsi="Calibri" w:cs="Calibri"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num w:numId="1">
    <w:abstractNumId w:val="17"/>
  </w:num>
  <w:num w:numId="2">
    <w:abstractNumId w:val="1"/>
  </w:num>
  <w:num w:numId="3">
    <w:abstractNumId w:val="15"/>
  </w:num>
  <w:num w:numId="4">
    <w:abstractNumId w:val="29"/>
  </w:num>
  <w:num w:numId="5">
    <w:abstractNumId w:val="22"/>
  </w:num>
  <w:num w:numId="6">
    <w:abstractNumId w:val="6"/>
  </w:num>
  <w:num w:numId="7">
    <w:abstractNumId w:val="1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2"/>
  </w:num>
  <w:num w:numId="12">
    <w:abstractNumId w:val="23"/>
  </w:num>
  <w:num w:numId="13">
    <w:abstractNumId w:val="2"/>
  </w:num>
  <w:num w:numId="14">
    <w:abstractNumId w:val="25"/>
  </w:num>
  <w:num w:numId="15">
    <w:abstractNumId w:val="3"/>
  </w:num>
  <w:num w:numId="16">
    <w:abstractNumId w:val="10"/>
  </w:num>
  <w:num w:numId="17">
    <w:abstractNumId w:val="30"/>
  </w:num>
  <w:num w:numId="18">
    <w:abstractNumId w:val="13"/>
  </w:num>
  <w:num w:numId="19">
    <w:abstractNumId w:val="9"/>
  </w:num>
  <w:num w:numId="20">
    <w:abstractNumId w:val="7"/>
  </w:num>
  <w:num w:numId="21">
    <w:abstractNumId w:val="20"/>
  </w:num>
  <w:num w:numId="22">
    <w:abstractNumId w:val="21"/>
  </w:num>
  <w:num w:numId="23">
    <w:abstractNumId w:val="14"/>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num>
  <w:num w:numId="34">
    <w:abstractNumId w:val="28"/>
  </w:num>
  <w:num w:numId="35">
    <w:abstractNumId w:val="27"/>
  </w:num>
  <w:num w:numId="36">
    <w:abstractNumId w:val="8"/>
  </w:num>
  <w:num w:numId="37">
    <w:abstractNumId w:val="16"/>
  </w:num>
  <w:num w:numId="38">
    <w:abstractNumId w:val="0"/>
  </w:num>
  <w:num w:numId="39">
    <w:abstractNumId w:val="11"/>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162817"/>
  </w:hdrShapeDefaults>
  <w:footnotePr>
    <w:footnote w:id="0"/>
    <w:footnote w:id="1"/>
  </w:footnotePr>
  <w:endnotePr>
    <w:endnote w:id="0"/>
    <w:endnote w:id="1"/>
  </w:endnotePr>
  <w:compat/>
  <w:rsids>
    <w:rsidRoot w:val="00FC5456"/>
    <w:rsid w:val="00000FF8"/>
    <w:rsid w:val="000028CE"/>
    <w:rsid w:val="00004DE9"/>
    <w:rsid w:val="00011729"/>
    <w:rsid w:val="00013F54"/>
    <w:rsid w:val="00015EFC"/>
    <w:rsid w:val="00017DE5"/>
    <w:rsid w:val="00024AE0"/>
    <w:rsid w:val="00027879"/>
    <w:rsid w:val="00032AB7"/>
    <w:rsid w:val="000453A6"/>
    <w:rsid w:val="00047CD3"/>
    <w:rsid w:val="000514F2"/>
    <w:rsid w:val="00054DB4"/>
    <w:rsid w:val="000579D5"/>
    <w:rsid w:val="000612EB"/>
    <w:rsid w:val="00064608"/>
    <w:rsid w:val="000750EC"/>
    <w:rsid w:val="000771D5"/>
    <w:rsid w:val="000773D8"/>
    <w:rsid w:val="000819CC"/>
    <w:rsid w:val="00085C74"/>
    <w:rsid w:val="000867A0"/>
    <w:rsid w:val="00090345"/>
    <w:rsid w:val="000A6080"/>
    <w:rsid w:val="000A7563"/>
    <w:rsid w:val="000B5E46"/>
    <w:rsid w:val="000B6A12"/>
    <w:rsid w:val="000C181A"/>
    <w:rsid w:val="000C3C9E"/>
    <w:rsid w:val="000E79A6"/>
    <w:rsid w:val="000F20AA"/>
    <w:rsid w:val="000F7443"/>
    <w:rsid w:val="0011138E"/>
    <w:rsid w:val="00112D9F"/>
    <w:rsid w:val="00113E17"/>
    <w:rsid w:val="00114025"/>
    <w:rsid w:val="00116108"/>
    <w:rsid w:val="001170FE"/>
    <w:rsid w:val="00126B5B"/>
    <w:rsid w:val="00131D0B"/>
    <w:rsid w:val="00132B2D"/>
    <w:rsid w:val="0014160C"/>
    <w:rsid w:val="001438F3"/>
    <w:rsid w:val="00150DC8"/>
    <w:rsid w:val="00153DED"/>
    <w:rsid w:val="00156870"/>
    <w:rsid w:val="001633F2"/>
    <w:rsid w:val="001678C8"/>
    <w:rsid w:val="00184020"/>
    <w:rsid w:val="00184335"/>
    <w:rsid w:val="00187808"/>
    <w:rsid w:val="00193A78"/>
    <w:rsid w:val="001C386E"/>
    <w:rsid w:val="001D03C3"/>
    <w:rsid w:val="001D6047"/>
    <w:rsid w:val="001E13D6"/>
    <w:rsid w:val="001E7D56"/>
    <w:rsid w:val="0020300E"/>
    <w:rsid w:val="00203910"/>
    <w:rsid w:val="0020706B"/>
    <w:rsid w:val="00212366"/>
    <w:rsid w:val="00212BAF"/>
    <w:rsid w:val="00214E8C"/>
    <w:rsid w:val="00224DFB"/>
    <w:rsid w:val="00233961"/>
    <w:rsid w:val="00233F03"/>
    <w:rsid w:val="0023648F"/>
    <w:rsid w:val="0023732F"/>
    <w:rsid w:val="002509C0"/>
    <w:rsid w:val="00253143"/>
    <w:rsid w:val="0025440E"/>
    <w:rsid w:val="00256376"/>
    <w:rsid w:val="0026277A"/>
    <w:rsid w:val="00264BB8"/>
    <w:rsid w:val="0026583D"/>
    <w:rsid w:val="002708B2"/>
    <w:rsid w:val="00276CB0"/>
    <w:rsid w:val="00280717"/>
    <w:rsid w:val="00280A72"/>
    <w:rsid w:val="00280D63"/>
    <w:rsid w:val="002931D2"/>
    <w:rsid w:val="00296CCD"/>
    <w:rsid w:val="002A2242"/>
    <w:rsid w:val="002A59F0"/>
    <w:rsid w:val="002B2F25"/>
    <w:rsid w:val="002B4BF9"/>
    <w:rsid w:val="002B6341"/>
    <w:rsid w:val="002B7829"/>
    <w:rsid w:val="002B7C20"/>
    <w:rsid w:val="002C1523"/>
    <w:rsid w:val="002C612D"/>
    <w:rsid w:val="002C6E44"/>
    <w:rsid w:val="002D795F"/>
    <w:rsid w:val="002E224B"/>
    <w:rsid w:val="002E69F5"/>
    <w:rsid w:val="002F0597"/>
    <w:rsid w:val="002F0A37"/>
    <w:rsid w:val="002F3441"/>
    <w:rsid w:val="00303EA7"/>
    <w:rsid w:val="00307247"/>
    <w:rsid w:val="00325051"/>
    <w:rsid w:val="00326F41"/>
    <w:rsid w:val="003274A6"/>
    <w:rsid w:val="0033637D"/>
    <w:rsid w:val="0033654B"/>
    <w:rsid w:val="0034167A"/>
    <w:rsid w:val="00342545"/>
    <w:rsid w:val="00343116"/>
    <w:rsid w:val="003457E9"/>
    <w:rsid w:val="00350CF0"/>
    <w:rsid w:val="00351000"/>
    <w:rsid w:val="003516FB"/>
    <w:rsid w:val="00352AAB"/>
    <w:rsid w:val="003546F2"/>
    <w:rsid w:val="003621EF"/>
    <w:rsid w:val="003667E2"/>
    <w:rsid w:val="00371B80"/>
    <w:rsid w:val="0037280F"/>
    <w:rsid w:val="003729FC"/>
    <w:rsid w:val="00372ECD"/>
    <w:rsid w:val="0038143B"/>
    <w:rsid w:val="003817A5"/>
    <w:rsid w:val="003861F4"/>
    <w:rsid w:val="003867E7"/>
    <w:rsid w:val="00386A3D"/>
    <w:rsid w:val="0039248C"/>
    <w:rsid w:val="003971EA"/>
    <w:rsid w:val="003A62C7"/>
    <w:rsid w:val="003A7504"/>
    <w:rsid w:val="003A7A1A"/>
    <w:rsid w:val="003B1CCF"/>
    <w:rsid w:val="003B2319"/>
    <w:rsid w:val="003B2E01"/>
    <w:rsid w:val="003B3CCC"/>
    <w:rsid w:val="003B5C5B"/>
    <w:rsid w:val="003B5F8D"/>
    <w:rsid w:val="003B6474"/>
    <w:rsid w:val="003C0355"/>
    <w:rsid w:val="003D269F"/>
    <w:rsid w:val="003F19A1"/>
    <w:rsid w:val="00401D92"/>
    <w:rsid w:val="00402566"/>
    <w:rsid w:val="00404B73"/>
    <w:rsid w:val="004063B5"/>
    <w:rsid w:val="004100A0"/>
    <w:rsid w:val="00414C87"/>
    <w:rsid w:val="00414DDE"/>
    <w:rsid w:val="004360D1"/>
    <w:rsid w:val="00441B98"/>
    <w:rsid w:val="00443C2E"/>
    <w:rsid w:val="00443F3D"/>
    <w:rsid w:val="00444A8F"/>
    <w:rsid w:val="0045261F"/>
    <w:rsid w:val="00455DAC"/>
    <w:rsid w:val="00463927"/>
    <w:rsid w:val="00463CFE"/>
    <w:rsid w:val="00466B3D"/>
    <w:rsid w:val="0047294D"/>
    <w:rsid w:val="00472C48"/>
    <w:rsid w:val="00475348"/>
    <w:rsid w:val="00475B67"/>
    <w:rsid w:val="00476551"/>
    <w:rsid w:val="00480325"/>
    <w:rsid w:val="0048208D"/>
    <w:rsid w:val="00483362"/>
    <w:rsid w:val="004932AF"/>
    <w:rsid w:val="004A42DC"/>
    <w:rsid w:val="004B1921"/>
    <w:rsid w:val="004B50AD"/>
    <w:rsid w:val="004E2D2E"/>
    <w:rsid w:val="004E38D3"/>
    <w:rsid w:val="004E6619"/>
    <w:rsid w:val="004F06BC"/>
    <w:rsid w:val="004F7AF9"/>
    <w:rsid w:val="0050233D"/>
    <w:rsid w:val="0050447A"/>
    <w:rsid w:val="00505A4E"/>
    <w:rsid w:val="00512FBF"/>
    <w:rsid w:val="005145CC"/>
    <w:rsid w:val="00514F32"/>
    <w:rsid w:val="00522705"/>
    <w:rsid w:val="00526613"/>
    <w:rsid w:val="005303A1"/>
    <w:rsid w:val="00533EDB"/>
    <w:rsid w:val="00542701"/>
    <w:rsid w:val="005472BA"/>
    <w:rsid w:val="005551AC"/>
    <w:rsid w:val="00555CD3"/>
    <w:rsid w:val="00556AF1"/>
    <w:rsid w:val="005669DC"/>
    <w:rsid w:val="00566B75"/>
    <w:rsid w:val="00583585"/>
    <w:rsid w:val="00595A73"/>
    <w:rsid w:val="005A2794"/>
    <w:rsid w:val="005C0CA8"/>
    <w:rsid w:val="005C401F"/>
    <w:rsid w:val="005C796F"/>
    <w:rsid w:val="005D5EEF"/>
    <w:rsid w:val="005E00A3"/>
    <w:rsid w:val="005E2F88"/>
    <w:rsid w:val="005E4236"/>
    <w:rsid w:val="005F3E98"/>
    <w:rsid w:val="005F6510"/>
    <w:rsid w:val="005F73EA"/>
    <w:rsid w:val="005F7464"/>
    <w:rsid w:val="00606750"/>
    <w:rsid w:val="00607D5F"/>
    <w:rsid w:val="00610ADD"/>
    <w:rsid w:val="0061256C"/>
    <w:rsid w:val="00614E8B"/>
    <w:rsid w:val="00635555"/>
    <w:rsid w:val="0064027A"/>
    <w:rsid w:val="0064181E"/>
    <w:rsid w:val="00643310"/>
    <w:rsid w:val="00655E09"/>
    <w:rsid w:val="00660E87"/>
    <w:rsid w:val="00664FE8"/>
    <w:rsid w:val="006658BC"/>
    <w:rsid w:val="0067068D"/>
    <w:rsid w:val="00673CEF"/>
    <w:rsid w:val="0068244A"/>
    <w:rsid w:val="00686309"/>
    <w:rsid w:val="00687DC9"/>
    <w:rsid w:val="00695A42"/>
    <w:rsid w:val="006B403B"/>
    <w:rsid w:val="006B5E31"/>
    <w:rsid w:val="006B6E4B"/>
    <w:rsid w:val="006B6F37"/>
    <w:rsid w:val="006C205F"/>
    <w:rsid w:val="006D460C"/>
    <w:rsid w:val="006E3A86"/>
    <w:rsid w:val="006F2CB9"/>
    <w:rsid w:val="00702175"/>
    <w:rsid w:val="00706F5C"/>
    <w:rsid w:val="0071282F"/>
    <w:rsid w:val="00714DE8"/>
    <w:rsid w:val="007150E5"/>
    <w:rsid w:val="007168B4"/>
    <w:rsid w:val="00717E3D"/>
    <w:rsid w:val="00723346"/>
    <w:rsid w:val="00724570"/>
    <w:rsid w:val="00726798"/>
    <w:rsid w:val="00735059"/>
    <w:rsid w:val="0073551E"/>
    <w:rsid w:val="007429E7"/>
    <w:rsid w:val="0074312D"/>
    <w:rsid w:val="00745DA7"/>
    <w:rsid w:val="00746E40"/>
    <w:rsid w:val="007506B5"/>
    <w:rsid w:val="00751CAF"/>
    <w:rsid w:val="00752276"/>
    <w:rsid w:val="0075502E"/>
    <w:rsid w:val="00767076"/>
    <w:rsid w:val="007703E8"/>
    <w:rsid w:val="007720E8"/>
    <w:rsid w:val="00776FB4"/>
    <w:rsid w:val="0078479F"/>
    <w:rsid w:val="007A509A"/>
    <w:rsid w:val="007B49BD"/>
    <w:rsid w:val="007C29FB"/>
    <w:rsid w:val="007D43FF"/>
    <w:rsid w:val="007D790E"/>
    <w:rsid w:val="007E0FA7"/>
    <w:rsid w:val="007F1525"/>
    <w:rsid w:val="00804A60"/>
    <w:rsid w:val="008055DD"/>
    <w:rsid w:val="00824D97"/>
    <w:rsid w:val="00827F3C"/>
    <w:rsid w:val="008302CB"/>
    <w:rsid w:val="00832695"/>
    <w:rsid w:val="00855141"/>
    <w:rsid w:val="00866967"/>
    <w:rsid w:val="008670C2"/>
    <w:rsid w:val="0086779B"/>
    <w:rsid w:val="0087071B"/>
    <w:rsid w:val="008736C8"/>
    <w:rsid w:val="00880994"/>
    <w:rsid w:val="00887893"/>
    <w:rsid w:val="008A7EE0"/>
    <w:rsid w:val="008B00D1"/>
    <w:rsid w:val="008B02A7"/>
    <w:rsid w:val="008B22E8"/>
    <w:rsid w:val="008B6879"/>
    <w:rsid w:val="008C339D"/>
    <w:rsid w:val="008D04D2"/>
    <w:rsid w:val="008D4899"/>
    <w:rsid w:val="008E107C"/>
    <w:rsid w:val="008E1A07"/>
    <w:rsid w:val="008E1AF2"/>
    <w:rsid w:val="008E50BB"/>
    <w:rsid w:val="008F1B16"/>
    <w:rsid w:val="008F4128"/>
    <w:rsid w:val="008F6E58"/>
    <w:rsid w:val="009023D6"/>
    <w:rsid w:val="009112B2"/>
    <w:rsid w:val="0091418F"/>
    <w:rsid w:val="00916933"/>
    <w:rsid w:val="009173AE"/>
    <w:rsid w:val="00920270"/>
    <w:rsid w:val="009203C4"/>
    <w:rsid w:val="00930712"/>
    <w:rsid w:val="00934CB8"/>
    <w:rsid w:val="00935BD5"/>
    <w:rsid w:val="00942271"/>
    <w:rsid w:val="00942F1E"/>
    <w:rsid w:val="00944918"/>
    <w:rsid w:val="00950C3A"/>
    <w:rsid w:val="0095331E"/>
    <w:rsid w:val="00954D98"/>
    <w:rsid w:val="00954E35"/>
    <w:rsid w:val="00957D45"/>
    <w:rsid w:val="00962590"/>
    <w:rsid w:val="00964DD3"/>
    <w:rsid w:val="00970E01"/>
    <w:rsid w:val="0097694A"/>
    <w:rsid w:val="00985777"/>
    <w:rsid w:val="009913C8"/>
    <w:rsid w:val="009945DE"/>
    <w:rsid w:val="00995879"/>
    <w:rsid w:val="009B3DC8"/>
    <w:rsid w:val="009B454B"/>
    <w:rsid w:val="009C44FA"/>
    <w:rsid w:val="009C5B8F"/>
    <w:rsid w:val="009C7F92"/>
    <w:rsid w:val="009D0D89"/>
    <w:rsid w:val="009D7897"/>
    <w:rsid w:val="009E226D"/>
    <w:rsid w:val="009E4A9B"/>
    <w:rsid w:val="009E60D3"/>
    <w:rsid w:val="009F5F35"/>
    <w:rsid w:val="009F6206"/>
    <w:rsid w:val="00A07780"/>
    <w:rsid w:val="00A159E0"/>
    <w:rsid w:val="00A1604F"/>
    <w:rsid w:val="00A176C2"/>
    <w:rsid w:val="00A2415D"/>
    <w:rsid w:val="00A24FD1"/>
    <w:rsid w:val="00A25FB1"/>
    <w:rsid w:val="00A31427"/>
    <w:rsid w:val="00A3232F"/>
    <w:rsid w:val="00A37088"/>
    <w:rsid w:val="00A41925"/>
    <w:rsid w:val="00A43339"/>
    <w:rsid w:val="00A45FAE"/>
    <w:rsid w:val="00A542ED"/>
    <w:rsid w:val="00A66A3B"/>
    <w:rsid w:val="00A67D36"/>
    <w:rsid w:val="00A80E55"/>
    <w:rsid w:val="00A8210A"/>
    <w:rsid w:val="00A8766C"/>
    <w:rsid w:val="00A94B9F"/>
    <w:rsid w:val="00A94C24"/>
    <w:rsid w:val="00A94EF8"/>
    <w:rsid w:val="00A96753"/>
    <w:rsid w:val="00AA065A"/>
    <w:rsid w:val="00AA276E"/>
    <w:rsid w:val="00AA437E"/>
    <w:rsid w:val="00AB0612"/>
    <w:rsid w:val="00AB0F31"/>
    <w:rsid w:val="00AB49DC"/>
    <w:rsid w:val="00AC60BA"/>
    <w:rsid w:val="00AC7803"/>
    <w:rsid w:val="00AD1419"/>
    <w:rsid w:val="00AD2654"/>
    <w:rsid w:val="00AD3865"/>
    <w:rsid w:val="00AD387C"/>
    <w:rsid w:val="00AE1A02"/>
    <w:rsid w:val="00AF4C8C"/>
    <w:rsid w:val="00B047BC"/>
    <w:rsid w:val="00B060C6"/>
    <w:rsid w:val="00B108A8"/>
    <w:rsid w:val="00B12C07"/>
    <w:rsid w:val="00B16B2D"/>
    <w:rsid w:val="00B22521"/>
    <w:rsid w:val="00B307BD"/>
    <w:rsid w:val="00B335A3"/>
    <w:rsid w:val="00B35B1E"/>
    <w:rsid w:val="00B36146"/>
    <w:rsid w:val="00B45544"/>
    <w:rsid w:val="00B46557"/>
    <w:rsid w:val="00B51160"/>
    <w:rsid w:val="00B574E9"/>
    <w:rsid w:val="00B67008"/>
    <w:rsid w:val="00B7541A"/>
    <w:rsid w:val="00B76C44"/>
    <w:rsid w:val="00B84202"/>
    <w:rsid w:val="00B971FE"/>
    <w:rsid w:val="00BA2AFE"/>
    <w:rsid w:val="00BA737E"/>
    <w:rsid w:val="00BB132A"/>
    <w:rsid w:val="00BB494B"/>
    <w:rsid w:val="00BB6AF6"/>
    <w:rsid w:val="00BD2FEF"/>
    <w:rsid w:val="00BD6EE1"/>
    <w:rsid w:val="00BD72FE"/>
    <w:rsid w:val="00BD74B0"/>
    <w:rsid w:val="00BD7CDF"/>
    <w:rsid w:val="00BE0EFA"/>
    <w:rsid w:val="00BF212E"/>
    <w:rsid w:val="00BF5978"/>
    <w:rsid w:val="00BF5AE2"/>
    <w:rsid w:val="00BF628A"/>
    <w:rsid w:val="00C030B9"/>
    <w:rsid w:val="00C03C68"/>
    <w:rsid w:val="00C042DA"/>
    <w:rsid w:val="00C06D60"/>
    <w:rsid w:val="00C11260"/>
    <w:rsid w:val="00C14CD8"/>
    <w:rsid w:val="00C168BA"/>
    <w:rsid w:val="00C25634"/>
    <w:rsid w:val="00C2621A"/>
    <w:rsid w:val="00C26860"/>
    <w:rsid w:val="00C34032"/>
    <w:rsid w:val="00C51165"/>
    <w:rsid w:val="00C528A9"/>
    <w:rsid w:val="00C54676"/>
    <w:rsid w:val="00C55F5D"/>
    <w:rsid w:val="00C572A9"/>
    <w:rsid w:val="00C63D57"/>
    <w:rsid w:val="00C777FA"/>
    <w:rsid w:val="00C77E08"/>
    <w:rsid w:val="00C826B9"/>
    <w:rsid w:val="00C82707"/>
    <w:rsid w:val="00C86BE4"/>
    <w:rsid w:val="00C876AA"/>
    <w:rsid w:val="00C9391A"/>
    <w:rsid w:val="00C96BA4"/>
    <w:rsid w:val="00C96D29"/>
    <w:rsid w:val="00CA641C"/>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325A8"/>
    <w:rsid w:val="00D44165"/>
    <w:rsid w:val="00D518FD"/>
    <w:rsid w:val="00D61EBD"/>
    <w:rsid w:val="00D62241"/>
    <w:rsid w:val="00D8034A"/>
    <w:rsid w:val="00D8116B"/>
    <w:rsid w:val="00D83482"/>
    <w:rsid w:val="00D83728"/>
    <w:rsid w:val="00D94317"/>
    <w:rsid w:val="00DA0C87"/>
    <w:rsid w:val="00DC3A52"/>
    <w:rsid w:val="00DC7096"/>
    <w:rsid w:val="00DD4338"/>
    <w:rsid w:val="00DD720B"/>
    <w:rsid w:val="00DE32D3"/>
    <w:rsid w:val="00DF7CFD"/>
    <w:rsid w:val="00E00381"/>
    <w:rsid w:val="00E021B9"/>
    <w:rsid w:val="00E06292"/>
    <w:rsid w:val="00E06D31"/>
    <w:rsid w:val="00E25152"/>
    <w:rsid w:val="00E270D4"/>
    <w:rsid w:val="00E3160F"/>
    <w:rsid w:val="00E34A5E"/>
    <w:rsid w:val="00E364D3"/>
    <w:rsid w:val="00E50CE7"/>
    <w:rsid w:val="00E63879"/>
    <w:rsid w:val="00E64517"/>
    <w:rsid w:val="00E749C5"/>
    <w:rsid w:val="00E8087E"/>
    <w:rsid w:val="00E80B50"/>
    <w:rsid w:val="00E81342"/>
    <w:rsid w:val="00E81F39"/>
    <w:rsid w:val="00E838E5"/>
    <w:rsid w:val="00E84974"/>
    <w:rsid w:val="00E94900"/>
    <w:rsid w:val="00E97B4E"/>
    <w:rsid w:val="00EB0F23"/>
    <w:rsid w:val="00EB6561"/>
    <w:rsid w:val="00EB6AD0"/>
    <w:rsid w:val="00EB6B71"/>
    <w:rsid w:val="00EC735D"/>
    <w:rsid w:val="00ED1815"/>
    <w:rsid w:val="00ED6883"/>
    <w:rsid w:val="00EE000F"/>
    <w:rsid w:val="00EE0F0F"/>
    <w:rsid w:val="00EF14A7"/>
    <w:rsid w:val="00F01771"/>
    <w:rsid w:val="00F0614D"/>
    <w:rsid w:val="00F14F66"/>
    <w:rsid w:val="00F202C3"/>
    <w:rsid w:val="00F31FCF"/>
    <w:rsid w:val="00F46AF1"/>
    <w:rsid w:val="00F5084C"/>
    <w:rsid w:val="00F5744C"/>
    <w:rsid w:val="00F60BCC"/>
    <w:rsid w:val="00F63E0D"/>
    <w:rsid w:val="00F64F9D"/>
    <w:rsid w:val="00F6524A"/>
    <w:rsid w:val="00F66EA8"/>
    <w:rsid w:val="00F76400"/>
    <w:rsid w:val="00F97E7C"/>
    <w:rsid w:val="00FA4E8C"/>
    <w:rsid w:val="00FA63C0"/>
    <w:rsid w:val="00FB096C"/>
    <w:rsid w:val="00FB43A4"/>
    <w:rsid w:val="00FC03AC"/>
    <w:rsid w:val="00FC5456"/>
    <w:rsid w:val="00FD02B3"/>
    <w:rsid w:val="00FD66E7"/>
    <w:rsid w:val="00FD7CCC"/>
    <w:rsid w:val="00FE3245"/>
    <w:rsid w:val="00FE4502"/>
    <w:rsid w:val="00FE75ED"/>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paragraph" w:styleId="Heading2">
    <w:name w:val="heading 2"/>
    <w:aliases w:val="capitol"/>
    <w:basedOn w:val="Normal"/>
    <w:next w:val="Normal"/>
    <w:link w:val="Heading2Char"/>
    <w:qFormat/>
    <w:rsid w:val="002B6341"/>
    <w:pPr>
      <w:keepNext/>
      <w:numPr>
        <w:numId w:val="35"/>
      </w:numPr>
      <w:spacing w:before="240" w:after="120"/>
      <w:ind w:left="0" w:hanging="378"/>
      <w:outlineLvl w:val="1"/>
    </w:pPr>
    <w:rPr>
      <w:b/>
      <w:sz w:val="22"/>
      <w:szCs w:val="20"/>
      <w:lang w:val="en-US"/>
    </w:rPr>
  </w:style>
  <w:style w:type="paragraph" w:styleId="Heading3">
    <w:name w:val="heading 3"/>
    <w:basedOn w:val="Normal"/>
    <w:next w:val="Normal"/>
    <w:link w:val="Heading3Char"/>
    <w:uiPriority w:val="9"/>
    <w:semiHidden/>
    <w:unhideWhenUsed/>
    <w:qFormat/>
    <w:rsid w:val="002B63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 w:type="paragraph" w:customStyle="1" w:styleId="TableParagraph">
    <w:name w:val="Table Paragraph"/>
    <w:basedOn w:val="Normal"/>
    <w:uiPriority w:val="1"/>
    <w:qFormat/>
    <w:rsid w:val="00AD1419"/>
    <w:pPr>
      <w:widowControl w:val="0"/>
      <w:autoSpaceDE w:val="0"/>
      <w:autoSpaceDN w:val="0"/>
    </w:pPr>
    <w:rPr>
      <w:sz w:val="22"/>
      <w:szCs w:val="22"/>
    </w:rPr>
  </w:style>
  <w:style w:type="character" w:customStyle="1" w:styleId="Heading2Char">
    <w:name w:val="Heading 2 Char"/>
    <w:aliases w:val="capitol Char"/>
    <w:basedOn w:val="DefaultParagraphFont"/>
    <w:link w:val="Heading2"/>
    <w:rsid w:val="002B6341"/>
    <w:rPr>
      <w:rFonts w:ascii="Times New Roman" w:eastAsia="Times New Roman" w:hAnsi="Times New Roman"/>
      <w:b/>
      <w:sz w:val="22"/>
    </w:rPr>
  </w:style>
  <w:style w:type="paragraph" w:customStyle="1" w:styleId="Formatvorlage1">
    <w:name w:val="Formatvorlage1"/>
    <w:basedOn w:val="Heading3"/>
    <w:qFormat/>
    <w:rsid w:val="002B6341"/>
    <w:pPr>
      <w:numPr>
        <w:ilvl w:val="1"/>
        <w:numId w:val="35"/>
      </w:numPr>
      <w:spacing w:before="120"/>
      <w:ind w:left="476" w:hanging="525"/>
      <w:jc w:val="both"/>
    </w:pPr>
    <w:rPr>
      <w:rFonts w:ascii="Times New Roman" w:eastAsia="Times New Roman" w:hAnsi="Times New Roman" w:cs="Times New Roman"/>
      <w:color w:val="auto"/>
      <w:sz w:val="22"/>
      <w:szCs w:val="22"/>
    </w:rPr>
  </w:style>
  <w:style w:type="paragraph" w:customStyle="1" w:styleId="Formatvorlage2">
    <w:name w:val="Formatvorlage2"/>
    <w:basedOn w:val="Normal"/>
    <w:qFormat/>
    <w:rsid w:val="002B6341"/>
    <w:pPr>
      <w:numPr>
        <w:ilvl w:val="2"/>
        <w:numId w:val="35"/>
      </w:numPr>
      <w:spacing w:before="120" w:after="120"/>
    </w:pPr>
    <w:rPr>
      <w:sz w:val="20"/>
      <w:lang w:val="en-GB" w:eastAsia="en-GB"/>
    </w:rPr>
  </w:style>
  <w:style w:type="character" w:customStyle="1" w:styleId="Heading3Char">
    <w:name w:val="Heading 3 Char"/>
    <w:basedOn w:val="DefaultParagraphFont"/>
    <w:link w:val="Heading3"/>
    <w:uiPriority w:val="9"/>
    <w:semiHidden/>
    <w:rsid w:val="002B6341"/>
    <w:rPr>
      <w:rFonts w:asciiTheme="majorHAnsi" w:eastAsiaTheme="majorEastAsia" w:hAnsiTheme="majorHAnsi" w:cstheme="majorBidi"/>
      <w:b/>
      <w:bCs/>
      <w:color w:val="4F81BD"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09590505">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18488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417D8-D91E-4F67-8082-56D50DF4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adeaconu</cp:lastModifiedBy>
  <cp:revision>13</cp:revision>
  <cp:lastPrinted>2022-07-11T04:44:00Z</cp:lastPrinted>
  <dcterms:created xsi:type="dcterms:W3CDTF">2022-07-07T10:22:00Z</dcterms:created>
  <dcterms:modified xsi:type="dcterms:W3CDTF">2022-07-11T04:55:00Z</dcterms:modified>
</cp:coreProperties>
</file>