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406"/>
        <w:tblW w:w="10800" w:type="dxa"/>
        <w:tblLayout w:type="fixed"/>
        <w:tblLook w:val="0000"/>
      </w:tblPr>
      <w:tblGrid>
        <w:gridCol w:w="6142"/>
        <w:gridCol w:w="518"/>
        <w:gridCol w:w="3060"/>
        <w:gridCol w:w="1080"/>
      </w:tblGrid>
      <w:tr w:rsidR="00686F82" w:rsidRPr="00DB5948" w:rsidTr="00B317C6">
        <w:trPr>
          <w:trHeight w:val="1350"/>
        </w:trPr>
        <w:tc>
          <w:tcPr>
            <w:tcW w:w="6142" w:type="dxa"/>
            <w:tcBorders>
              <w:bottom w:val="single" w:sz="4" w:space="0" w:color="auto"/>
            </w:tcBorders>
            <w:shd w:val="clear" w:color="auto" w:fill="auto"/>
          </w:tcPr>
          <w:p w:rsidR="00686F82" w:rsidRPr="00DB5948" w:rsidRDefault="00686F82" w:rsidP="006E4054">
            <w:pPr>
              <w:jc w:val="both"/>
              <w:rPr>
                <w:b/>
              </w:rPr>
            </w:pPr>
            <w:r w:rsidRPr="00DB5948">
              <w:rPr>
                <w:b/>
                <w:sz w:val="22"/>
                <w:szCs w:val="22"/>
              </w:rPr>
              <w:t>ROMANIA</w:t>
            </w:r>
          </w:p>
          <w:p w:rsidR="00686F82" w:rsidRPr="00DB5948" w:rsidRDefault="00686F82" w:rsidP="006E4054">
            <w:pPr>
              <w:jc w:val="both"/>
              <w:rPr>
                <w:b/>
              </w:rPr>
            </w:pPr>
            <w:r w:rsidRPr="00DB5948">
              <w:rPr>
                <w:b/>
                <w:sz w:val="22"/>
                <w:szCs w:val="22"/>
              </w:rPr>
              <w:t>JUDEŢUL TIMIŞ</w:t>
            </w:r>
          </w:p>
          <w:p w:rsidR="00686F82" w:rsidRPr="00DB5948" w:rsidRDefault="00686F82" w:rsidP="006E4054">
            <w:pPr>
              <w:jc w:val="both"/>
              <w:rPr>
                <w:b/>
              </w:rPr>
            </w:pPr>
            <w:r w:rsidRPr="00DB5948">
              <w:rPr>
                <w:b/>
                <w:sz w:val="22"/>
                <w:szCs w:val="22"/>
              </w:rPr>
              <w:t>MUNICIPIUL TIMIŞOARA</w:t>
            </w:r>
          </w:p>
          <w:p w:rsidR="00686F82" w:rsidRPr="00DB5948" w:rsidRDefault="00686F82" w:rsidP="006E4054">
            <w:pPr>
              <w:rPr>
                <w:b/>
              </w:rPr>
            </w:pPr>
            <w:r w:rsidRPr="00DB5948">
              <w:rPr>
                <w:b/>
                <w:sz w:val="22"/>
                <w:szCs w:val="22"/>
              </w:rPr>
              <w:t>PRIMAR</w:t>
            </w:r>
          </w:p>
          <w:p w:rsidR="00D27FBD" w:rsidRPr="00F160A2" w:rsidRDefault="00D27FBD" w:rsidP="00D27FBD">
            <w:pPr>
              <w:jc w:val="both"/>
              <w:rPr>
                <w:sz w:val="22"/>
                <w:szCs w:val="22"/>
              </w:rPr>
            </w:pPr>
            <w:r>
              <w:rPr>
                <w:sz w:val="22"/>
                <w:szCs w:val="22"/>
              </w:rPr>
              <w:t>SC2022-9616/19.04.2022</w:t>
            </w:r>
          </w:p>
          <w:p w:rsidR="00686F82" w:rsidRPr="00DB5948" w:rsidRDefault="00686F82" w:rsidP="00490487">
            <w:pPr>
              <w:jc w:val="both"/>
              <w:rPr>
                <w:b/>
              </w:rPr>
            </w:pPr>
          </w:p>
        </w:tc>
        <w:tc>
          <w:tcPr>
            <w:tcW w:w="518" w:type="dxa"/>
            <w:tcBorders>
              <w:bottom w:val="single" w:sz="4" w:space="0" w:color="auto"/>
            </w:tcBorders>
            <w:shd w:val="clear" w:color="auto" w:fill="auto"/>
          </w:tcPr>
          <w:p w:rsidR="00686F82" w:rsidRPr="00DB5948" w:rsidRDefault="00686F82" w:rsidP="006E4054">
            <w:pPr>
              <w:jc w:val="both"/>
              <w:rPr>
                <w:sz w:val="6"/>
                <w:szCs w:val="6"/>
              </w:rPr>
            </w:pPr>
          </w:p>
        </w:tc>
        <w:tc>
          <w:tcPr>
            <w:tcW w:w="3060" w:type="dxa"/>
            <w:tcBorders>
              <w:bottom w:val="single" w:sz="4" w:space="0" w:color="auto"/>
            </w:tcBorders>
            <w:shd w:val="clear" w:color="auto" w:fill="auto"/>
          </w:tcPr>
          <w:p w:rsidR="00686F82" w:rsidRPr="00DB5948" w:rsidRDefault="00686F82" w:rsidP="006E4054">
            <w:pPr>
              <w:jc w:val="center"/>
            </w:pPr>
            <w:r w:rsidRPr="00DB5948">
              <w:rPr>
                <w:noProof/>
                <w:lang w:val="en-US" w:eastAsia="en-US"/>
              </w:rPr>
              <w:drawing>
                <wp:inline distT="0" distB="0" distL="0" distR="0">
                  <wp:extent cx="619125" cy="971550"/>
                  <wp:effectExtent l="19050" t="0" r="9525" b="0"/>
                  <wp:docPr id="4" name="Picture 2"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2003"/>
                          <pic:cNvPicPr>
                            <a:picLocks noChangeAspect="1" noChangeArrowheads="1"/>
                          </pic:cNvPicPr>
                        </pic:nvPicPr>
                        <pic:blipFill>
                          <a:blip r:embed="rId7"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p w:rsidR="00686F82" w:rsidRPr="00DB5948" w:rsidRDefault="00686F82" w:rsidP="006E4054">
            <w:pPr>
              <w:jc w:val="center"/>
            </w:pPr>
          </w:p>
        </w:tc>
        <w:tc>
          <w:tcPr>
            <w:tcW w:w="1080" w:type="dxa"/>
            <w:tcBorders>
              <w:bottom w:val="single" w:sz="4" w:space="0" w:color="auto"/>
            </w:tcBorders>
            <w:shd w:val="clear" w:color="auto" w:fill="auto"/>
          </w:tcPr>
          <w:p w:rsidR="00686F82" w:rsidRPr="00DB5948" w:rsidRDefault="00686F82" w:rsidP="006E4054">
            <w:pPr>
              <w:jc w:val="center"/>
            </w:pPr>
          </w:p>
        </w:tc>
      </w:tr>
      <w:tr w:rsidR="00686F82" w:rsidRPr="00DB5948" w:rsidTr="006E4054">
        <w:trPr>
          <w:cantSplit/>
          <w:trHeight w:val="269"/>
        </w:trPr>
        <w:tc>
          <w:tcPr>
            <w:tcW w:w="10800" w:type="dxa"/>
            <w:gridSpan w:val="4"/>
            <w:tcBorders>
              <w:top w:val="single" w:sz="4" w:space="0" w:color="auto"/>
              <w:bottom w:val="single" w:sz="4" w:space="0" w:color="auto"/>
            </w:tcBorders>
            <w:shd w:val="clear" w:color="auto" w:fill="auto"/>
          </w:tcPr>
          <w:p w:rsidR="00686F82" w:rsidRPr="00DB5948" w:rsidRDefault="00686F82" w:rsidP="006E4054">
            <w:pPr>
              <w:jc w:val="center"/>
              <w:rPr>
                <w:b/>
                <w:i/>
                <w:sz w:val="6"/>
                <w:szCs w:val="6"/>
              </w:rPr>
            </w:pPr>
          </w:p>
          <w:p w:rsidR="00686F82" w:rsidRPr="00DB5948" w:rsidRDefault="00686F82" w:rsidP="006E4054">
            <w:pPr>
              <w:ind w:left="-223" w:right="-153"/>
              <w:jc w:val="center"/>
            </w:pPr>
            <w:r w:rsidRPr="00DB5948">
              <w:rPr>
                <w:b/>
                <w:i/>
                <w:sz w:val="16"/>
                <w:szCs w:val="16"/>
              </w:rPr>
              <w:t>Bd. C.D. Loga nr. 1, 300030   Timişoara,  tel: +40 256  408 300,  fax:+40 256 490 635 e-mail</w:t>
            </w:r>
            <w:r w:rsidRPr="00DB5948">
              <w:rPr>
                <w:b/>
                <w:i/>
                <w:color w:val="0000FF"/>
                <w:sz w:val="16"/>
                <w:szCs w:val="16"/>
              </w:rPr>
              <w:t xml:space="preserve">: primariatm@primariatm.ro  </w:t>
            </w:r>
            <w:r w:rsidRPr="00DB5948">
              <w:rPr>
                <w:b/>
                <w:i/>
                <w:sz w:val="16"/>
                <w:szCs w:val="16"/>
              </w:rPr>
              <w:t xml:space="preserve">internet: </w:t>
            </w:r>
            <w:r w:rsidRPr="00DB5948">
              <w:rPr>
                <w:b/>
                <w:i/>
                <w:color w:val="0000FF"/>
                <w:sz w:val="16"/>
                <w:szCs w:val="16"/>
              </w:rPr>
              <w:t>www</w:t>
            </w:r>
            <w:r w:rsidRPr="00DB5948">
              <w:rPr>
                <w:b/>
                <w:i/>
                <w:sz w:val="16"/>
                <w:szCs w:val="16"/>
              </w:rPr>
              <w:t>.</w:t>
            </w:r>
            <w:r w:rsidRPr="00DB5948">
              <w:rPr>
                <w:b/>
                <w:i/>
                <w:color w:val="0000FF"/>
                <w:sz w:val="16"/>
                <w:szCs w:val="16"/>
              </w:rPr>
              <w:t>primariatm.ro</w:t>
            </w:r>
          </w:p>
        </w:tc>
      </w:tr>
    </w:tbl>
    <w:p w:rsidR="00686F82" w:rsidRPr="00DB5948" w:rsidRDefault="00686F82" w:rsidP="00686F82">
      <w:pPr>
        <w:jc w:val="both"/>
        <w:rPr>
          <w:b/>
        </w:rPr>
      </w:pPr>
    </w:p>
    <w:p w:rsidR="00686F82" w:rsidRPr="00DB5948" w:rsidRDefault="00686F82" w:rsidP="00686F82">
      <w:pPr>
        <w:jc w:val="both"/>
        <w:rPr>
          <w:b/>
        </w:rPr>
      </w:pPr>
    </w:p>
    <w:p w:rsidR="00686F82" w:rsidRPr="00DB5948" w:rsidRDefault="00686F82" w:rsidP="00686F82">
      <w:pPr>
        <w:spacing w:line="206" w:lineRule="auto"/>
        <w:jc w:val="center"/>
        <w:rPr>
          <w:b/>
        </w:rPr>
      </w:pPr>
    </w:p>
    <w:p w:rsidR="00686F82" w:rsidRPr="00DB5948" w:rsidRDefault="00686F82" w:rsidP="00686F82">
      <w:pPr>
        <w:spacing w:line="206" w:lineRule="auto"/>
        <w:jc w:val="center"/>
        <w:rPr>
          <w:b/>
          <w:color w:val="000000"/>
        </w:rPr>
      </w:pPr>
      <w:r w:rsidRPr="00DB5948">
        <w:rPr>
          <w:b/>
          <w:color w:val="000000"/>
        </w:rPr>
        <w:t>REFERAT DE APROBARE A PROIECTULUI DE HOTĂRÂRE</w:t>
      </w:r>
    </w:p>
    <w:p w:rsidR="00490487" w:rsidRPr="00F160A2" w:rsidRDefault="00490487" w:rsidP="00490487">
      <w:pPr>
        <w:jc w:val="center"/>
        <w:rPr>
          <w:b/>
          <w:bCs/>
        </w:rPr>
      </w:pPr>
      <w:r w:rsidRPr="00F160A2">
        <w:rPr>
          <w:b/>
          <w:bCs/>
        </w:rPr>
        <w:t xml:space="preserve">privind trecerea terenului identificat prin CF nr. 446123 şi CF nr. 447050 necesar pentru realizarea obiectivului de investiţii Conexiune între proiectul  "Amenajare drum de legătură între Calea Moşniţei şi DC149" şi proiectul ,,Varianta de ocolire Timişoara Sud”, din domeniul public al Municipiului </w:t>
      </w:r>
      <w:r w:rsidRPr="00690DE2">
        <w:rPr>
          <w:b/>
          <w:bCs/>
        </w:rPr>
        <w:t>Timişoara în domeniul public al Ministerului Transporturilor</w:t>
      </w:r>
      <w:r w:rsidRPr="00F160A2">
        <w:rPr>
          <w:b/>
          <w:bCs/>
        </w:rPr>
        <w:t xml:space="preserve"> </w:t>
      </w:r>
    </w:p>
    <w:p w:rsidR="00182DA3" w:rsidRPr="00DB5948" w:rsidRDefault="00182DA3" w:rsidP="00182DA3">
      <w:pPr>
        <w:autoSpaceDE w:val="0"/>
        <w:autoSpaceDN w:val="0"/>
        <w:adjustRightInd w:val="0"/>
        <w:jc w:val="center"/>
        <w:rPr>
          <w:b/>
          <w:bCs/>
        </w:rPr>
      </w:pPr>
    </w:p>
    <w:p w:rsidR="00686F82" w:rsidRPr="00DB5948" w:rsidRDefault="00686F82" w:rsidP="00686F82">
      <w:pPr>
        <w:autoSpaceDE w:val="0"/>
        <w:autoSpaceDN w:val="0"/>
        <w:adjustRightInd w:val="0"/>
        <w:jc w:val="center"/>
        <w:rPr>
          <w:rFonts w:eastAsia="Calibri"/>
          <w:b/>
          <w:bCs/>
          <w:color w:val="000000"/>
        </w:rPr>
      </w:pPr>
    </w:p>
    <w:p w:rsidR="00B317C6" w:rsidRPr="00DB5948" w:rsidRDefault="00B317C6" w:rsidP="00B317C6">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DB5948">
        <w:rPr>
          <w:rFonts w:ascii="Times New Roman" w:hAnsi="Times New Roman"/>
          <w:b/>
          <w:color w:val="000000"/>
          <w:spacing w:val="-5"/>
          <w:sz w:val="24"/>
          <w:szCs w:val="24"/>
          <w:lang w:val="ro-RO"/>
        </w:rPr>
        <w:t>Descrierea situatiei actuale</w:t>
      </w:r>
    </w:p>
    <w:p w:rsidR="00490487" w:rsidRPr="00F160A2" w:rsidRDefault="00B317C6" w:rsidP="00490487">
      <w:pPr>
        <w:jc w:val="both"/>
      </w:pPr>
      <w:r w:rsidRPr="00DB5948">
        <w:tab/>
      </w:r>
      <w:r w:rsidR="00490487" w:rsidRPr="00F160A2">
        <w:t xml:space="preserve">Prin HCLMT nr. 290/25.06.2015 s-a aprobat traseul drumului - </w:t>
      </w:r>
      <w:r w:rsidR="00490487" w:rsidRPr="00F160A2">
        <w:rPr>
          <w:bCs/>
        </w:rPr>
        <w:t>Varianta A</w:t>
      </w:r>
      <w:r w:rsidR="00490487" w:rsidRPr="00F160A2">
        <w:t>, prezentat în documentaţia aferentă obiectivului de investiţii  "</w:t>
      </w:r>
      <w:r w:rsidR="00490487" w:rsidRPr="00F160A2">
        <w:rPr>
          <w:iCs/>
        </w:rPr>
        <w:t>Amenajare drum de legătură între Calea Moşniţei şi DC149</w:t>
      </w:r>
      <w:r w:rsidR="00490487" w:rsidRPr="00F160A2">
        <w:t>", cu finanţare din bugetul local. Studiul de fezabilitate p</w:t>
      </w:r>
      <w:r w:rsidR="00490487" w:rsidRPr="00F160A2">
        <w:rPr>
          <w:color w:val="000000"/>
        </w:rPr>
        <w:t>entru obiectivul de investiţii  "</w:t>
      </w:r>
      <w:r w:rsidR="00490487" w:rsidRPr="00F160A2">
        <w:rPr>
          <w:iCs/>
          <w:color w:val="000000"/>
        </w:rPr>
        <w:t>Amenajare drum de legătură între Calea Moşniţei şi DC149”, cu caracteristicile principale şi indicatorii tehnico-economici au fost aprobaţi prin HCLMT nr. 388/22.09.2015.</w:t>
      </w:r>
    </w:p>
    <w:p w:rsidR="00490487" w:rsidRPr="00F160A2" w:rsidRDefault="00490487" w:rsidP="00490487">
      <w:pPr>
        <w:ind w:firstLine="708"/>
        <w:jc w:val="both"/>
        <w:rPr>
          <w:color w:val="000000"/>
        </w:rPr>
      </w:pPr>
      <w:r w:rsidRPr="00F160A2">
        <w:rPr>
          <w:color w:val="000000"/>
        </w:rPr>
        <w:t>Lucrările vor cuprinde amenajare carosabil cu 2 benzi de circulaţie, amenajare trotuare, amenajare piste de biciclete, amenajare spaţii verzi.</w:t>
      </w:r>
    </w:p>
    <w:p w:rsidR="00490487" w:rsidRPr="00F160A2" w:rsidRDefault="00490487" w:rsidP="00490487">
      <w:pPr>
        <w:ind w:firstLine="708"/>
        <w:jc w:val="both"/>
        <w:rPr>
          <w:color w:val="000000"/>
        </w:rPr>
      </w:pPr>
      <w:r w:rsidRPr="00F160A2">
        <w:rPr>
          <w:color w:val="000000"/>
        </w:rPr>
        <w:t>Primăria Municipiului Timişoara a întreprins demersurile necesare în vederea realizării intersecţiei dintre ,,Varianta de ocolire Timişoara Sud” şi alte drumuri, printre care şi DC98. În acest sens au fost transmise solicitări către C.N.A.I.R., SC Tirrena Scavi SRL, Ministerul Transporturilor, precum şi Consiliului Judeţean Timiş. Astfel, am solicitat ca la intersecția Centurii cu DC 98 (Timisoara - Urseni) pozitia kilometrica a proiectului centurii Km 16+500 unde s-a prevazut intersectie la nivel cu relatie de dreapta, să se realizeze o giratie care  sa asigure toate directiile  de mers de pe/pe centura, precum și asigurarea circulatiei în condiții de siguranță a pietonilor si bicicliştilor la traversarea centurii,  tinându-se cont de planul de mobilitate urbană durabilă pentru Polul de Creștere.</w:t>
      </w:r>
    </w:p>
    <w:p w:rsidR="001C785B" w:rsidRPr="00A9509B" w:rsidRDefault="001C785B" w:rsidP="00490487">
      <w:pPr>
        <w:jc w:val="both"/>
      </w:pPr>
    </w:p>
    <w:p w:rsidR="00B317C6" w:rsidRPr="00DB5948" w:rsidRDefault="001C785B" w:rsidP="001C785B">
      <w:pPr>
        <w:jc w:val="both"/>
        <w:rPr>
          <w:b/>
          <w:color w:val="000000"/>
          <w:spacing w:val="-5"/>
        </w:rPr>
      </w:pPr>
      <w:r>
        <w:rPr>
          <w:b/>
          <w:color w:val="000000"/>
          <w:spacing w:val="-5"/>
        </w:rPr>
        <w:t xml:space="preserve">2. </w:t>
      </w:r>
      <w:r w:rsidR="00B317C6" w:rsidRPr="00DB5948">
        <w:rPr>
          <w:b/>
          <w:color w:val="000000"/>
          <w:spacing w:val="-5"/>
        </w:rPr>
        <w:t>Schimbari preconizate și rezultate așteptate</w:t>
      </w:r>
    </w:p>
    <w:p w:rsidR="00490487" w:rsidRPr="00F160A2" w:rsidRDefault="00B317C6" w:rsidP="00490487">
      <w:pPr>
        <w:ind w:firstLine="708"/>
        <w:jc w:val="both"/>
        <w:rPr>
          <w:color w:val="000000"/>
        </w:rPr>
      </w:pPr>
      <w:r w:rsidRPr="00DB5948">
        <w:rPr>
          <w:bCs/>
          <w:color w:val="FF0000"/>
        </w:rPr>
        <w:tab/>
      </w:r>
      <w:r w:rsidR="00490487">
        <w:rPr>
          <w:color w:val="000000"/>
        </w:rPr>
        <w:t>Î</w:t>
      </w:r>
      <w:r w:rsidR="00490487" w:rsidRPr="00F160A2">
        <w:rPr>
          <w:color w:val="000000"/>
        </w:rPr>
        <w:t>n data de 23.12.2021 s-a încheiat un parteneriat între Compania Naţională de Administrare a Infrastructurii Rutiere SA şi UAT municipiul Timişoara a cărui obiect este asigurarea conlucrării între parteneri în vederea realizării proiectului integrat. Prin acest parteneriat Muncipiul Timişoara s-a obligat să realizeze exproprierile suplimentare necesare aliniamentului drumului de legătură între Cale Moşniţei şi DC149 pentru execuţia intersecţiei de la km 19+280, în conformitate cu soluţia avizată de către CNAIR SA prin avizul nr. 5046/23.04.2021.</w:t>
      </w:r>
    </w:p>
    <w:p w:rsidR="00490487" w:rsidRDefault="00490487" w:rsidP="00490487">
      <w:pPr>
        <w:ind w:firstLine="708"/>
        <w:jc w:val="both"/>
        <w:rPr>
          <w:color w:val="000000"/>
        </w:rPr>
      </w:pPr>
      <w:r w:rsidRPr="00F160A2">
        <w:rPr>
          <w:color w:val="000000"/>
        </w:rPr>
        <w:t xml:space="preserve">Pentru realizarea acestei intersecţii s-a identificat terenul în suprafaţă de 3378 mp înscris în CF nr. 447050 având proprietar municipiul Timişoara, precum şi terenul în suprafaţă de 1435 mp înscris în CF nr. 446123 având proprietar municipiul Timişoara. </w:t>
      </w:r>
    </w:p>
    <w:p w:rsidR="00490487" w:rsidRPr="00F160A2" w:rsidRDefault="00490487" w:rsidP="00490487">
      <w:pPr>
        <w:tabs>
          <w:tab w:val="left" w:pos="426"/>
        </w:tabs>
        <w:jc w:val="both"/>
      </w:pPr>
      <w:r w:rsidRPr="00F160A2">
        <w:rPr>
          <w:color w:val="000000"/>
        </w:rPr>
        <w:t>Potrivit art. 293 din OUG nr. 57/2019 privind Codul administrativ, t</w:t>
      </w:r>
      <w:r w:rsidRPr="00F160A2">
        <w:t xml:space="preserve">recerea unui bun din domeniul public al unei unităţi administrativ-teritoriale în domeniul public al statului se face, la cererea Guvernului, prin hotărâre a consiliului local al municipiului. În instrumentul de prezentare şi motivare al hotărârii prevăzute se regăseşte, în mod obligatoriu, justificarea temeinică a încetării uzului sau interesului public judeţean sau local. Cererea prevăzută la alin. (1) se aprobă prin notă înaintată Guvernului de către autoritatea/instituţia publică interesată, care cuprinde justificarea temeinică a uzului sau interesului public naţional.  Hotărârea de trecere se transmite Guvernului în </w:t>
      </w:r>
      <w:r w:rsidRPr="00F160A2">
        <w:lastRenderedPageBreak/>
        <w:t>termen de 90 de zile de la data adoptării acesteia. Guvernul, la iniţiativa autorităţii/instituţiei publice care a solicitat trecerea bunului, adoptă o hotărâre prin care declară bunul de uz sau de interes public naţional, aprobă înscrierea bunului în inventar şi stabileşte titularul dreptului de administrare.</w:t>
      </w:r>
    </w:p>
    <w:p w:rsidR="001C785B" w:rsidRDefault="001C785B" w:rsidP="00490487">
      <w:pPr>
        <w:jc w:val="both"/>
      </w:pPr>
    </w:p>
    <w:p w:rsidR="00B317C6" w:rsidRPr="00DB5948" w:rsidRDefault="001C785B" w:rsidP="001C785B">
      <w:pPr>
        <w:tabs>
          <w:tab w:val="center" w:pos="-360"/>
          <w:tab w:val="left" w:pos="0"/>
        </w:tabs>
        <w:jc w:val="both"/>
        <w:rPr>
          <w:b/>
          <w:spacing w:val="-1"/>
        </w:rPr>
      </w:pPr>
      <w:r>
        <w:t>3.</w:t>
      </w:r>
      <w:r w:rsidR="00B317C6" w:rsidRPr="00DB5948">
        <w:rPr>
          <w:b/>
          <w:spacing w:val="-1"/>
        </w:rPr>
        <w:t>Concluzii</w:t>
      </w:r>
    </w:p>
    <w:p w:rsidR="00B317C6" w:rsidRPr="00490487" w:rsidRDefault="00B317C6" w:rsidP="0092230B">
      <w:pPr>
        <w:pStyle w:val="ListParagraph"/>
        <w:spacing w:after="200"/>
        <w:ind w:left="0" w:firstLine="720"/>
        <w:jc w:val="both"/>
        <w:rPr>
          <w:rFonts w:ascii="Times New Roman" w:hAnsi="Times New Roman"/>
          <w:spacing w:val="-1"/>
          <w:sz w:val="24"/>
          <w:szCs w:val="24"/>
          <w:lang w:val="ro-RO"/>
        </w:rPr>
      </w:pPr>
      <w:r w:rsidRPr="00DB5948">
        <w:rPr>
          <w:rFonts w:ascii="Times New Roman" w:hAnsi="Times New Roman"/>
          <w:sz w:val="24"/>
          <w:szCs w:val="24"/>
          <w:lang w:val="ro-RO"/>
        </w:rPr>
        <w:t>C</w:t>
      </w:r>
      <w:r w:rsidRPr="00DB5948">
        <w:rPr>
          <w:rFonts w:ascii="Times New Roman" w:hAnsi="Times New Roman"/>
          <w:sz w:val="24"/>
          <w:szCs w:val="24"/>
          <w:lang w:val="ro-RO" w:eastAsia="ro-RO"/>
        </w:rPr>
        <w:t xml:space="preserve">onsider necesar și oportun  </w:t>
      </w:r>
      <w:r w:rsidRPr="00DB5948">
        <w:rPr>
          <w:rFonts w:ascii="Times New Roman" w:hAnsi="Times New Roman"/>
          <w:color w:val="000000"/>
          <w:spacing w:val="-2"/>
          <w:sz w:val="24"/>
          <w:szCs w:val="24"/>
          <w:lang w:val="ro-RO"/>
        </w:rPr>
        <w:t>aprobarea</w:t>
      </w:r>
      <w:r w:rsidRPr="00DB5948">
        <w:rPr>
          <w:rFonts w:ascii="Times New Roman" w:hAnsi="Times New Roman"/>
          <w:sz w:val="24"/>
          <w:szCs w:val="24"/>
          <w:lang w:val="ro-RO"/>
        </w:rPr>
        <w:t xml:space="preserve"> proiectului de hotărâre privind </w:t>
      </w:r>
      <w:r w:rsidR="00490487" w:rsidRPr="00490487">
        <w:rPr>
          <w:rFonts w:ascii="Times New Roman" w:hAnsi="Times New Roman"/>
          <w:bCs/>
          <w:sz w:val="24"/>
          <w:szCs w:val="24"/>
          <w:lang w:val="ro-RO"/>
        </w:rPr>
        <w:t>trecerea terenului identificat prin CF nr. 446123 şi CF nr. 447050 necesar pentru realizarea obiectivului de investiţii Conexiune între proiectul  "Amenajare drum de legătură între Calea Moşniţei şi DC149" şi proiectul ,,Varianta de ocolire Timişoara Sud”, din domeniul public al Municipiului Timişoara în domeniul public al Ministerului Transporturilor</w:t>
      </w:r>
      <w:r w:rsidRPr="00490487">
        <w:rPr>
          <w:rFonts w:ascii="Times New Roman" w:hAnsi="Times New Roman"/>
          <w:sz w:val="24"/>
          <w:szCs w:val="24"/>
          <w:lang w:val="ro-RO"/>
        </w:rPr>
        <w:t>.</w:t>
      </w:r>
    </w:p>
    <w:p w:rsidR="00B317C6" w:rsidRDefault="00B317C6" w:rsidP="00B317C6">
      <w:pPr>
        <w:pStyle w:val="ListParagraph"/>
        <w:tabs>
          <w:tab w:val="left" w:pos="0"/>
        </w:tabs>
        <w:spacing w:after="200"/>
        <w:ind w:left="0"/>
        <w:jc w:val="both"/>
        <w:rPr>
          <w:rFonts w:ascii="Times New Roman" w:eastAsia="Calibri" w:hAnsi="Times New Roman"/>
          <w:bCs/>
          <w:color w:val="000000"/>
          <w:sz w:val="24"/>
          <w:szCs w:val="24"/>
          <w:lang w:val="ro-RO"/>
        </w:rPr>
      </w:pPr>
    </w:p>
    <w:p w:rsidR="001B0FFE" w:rsidRDefault="001B0FFE" w:rsidP="00B317C6">
      <w:pPr>
        <w:pStyle w:val="ListParagraph"/>
        <w:tabs>
          <w:tab w:val="left" w:pos="0"/>
        </w:tabs>
        <w:spacing w:after="200"/>
        <w:ind w:left="0"/>
        <w:jc w:val="both"/>
        <w:rPr>
          <w:rFonts w:ascii="Times New Roman" w:eastAsia="Calibri" w:hAnsi="Times New Roman"/>
          <w:bCs/>
          <w:color w:val="000000"/>
          <w:sz w:val="24"/>
          <w:szCs w:val="24"/>
          <w:lang w:val="ro-RO"/>
        </w:rPr>
      </w:pPr>
    </w:p>
    <w:p w:rsidR="001B0FFE" w:rsidRDefault="001B0FFE" w:rsidP="00B317C6">
      <w:pPr>
        <w:pStyle w:val="ListParagraph"/>
        <w:tabs>
          <w:tab w:val="left" w:pos="0"/>
        </w:tabs>
        <w:spacing w:after="200"/>
        <w:ind w:left="0"/>
        <w:jc w:val="both"/>
        <w:rPr>
          <w:rFonts w:ascii="Times New Roman" w:eastAsia="Calibri" w:hAnsi="Times New Roman"/>
          <w:bCs/>
          <w:color w:val="000000"/>
          <w:sz w:val="24"/>
          <w:szCs w:val="24"/>
          <w:lang w:val="ro-RO"/>
        </w:rPr>
      </w:pPr>
    </w:p>
    <w:p w:rsidR="001B0FFE" w:rsidRPr="00DB5948" w:rsidRDefault="001B0FFE" w:rsidP="00B317C6">
      <w:pPr>
        <w:pStyle w:val="ListParagraph"/>
        <w:tabs>
          <w:tab w:val="left" w:pos="0"/>
        </w:tabs>
        <w:spacing w:after="200"/>
        <w:ind w:left="0"/>
        <w:jc w:val="both"/>
        <w:rPr>
          <w:rFonts w:ascii="Times New Roman" w:eastAsia="Calibri" w:hAnsi="Times New Roman"/>
          <w:bCs/>
          <w:color w:val="000000"/>
          <w:sz w:val="24"/>
          <w:szCs w:val="24"/>
          <w:lang w:val="ro-RO"/>
        </w:rPr>
      </w:pPr>
    </w:p>
    <w:tbl>
      <w:tblPr>
        <w:tblW w:w="10610" w:type="dxa"/>
        <w:tblLook w:val="01E0"/>
      </w:tblPr>
      <w:tblGrid>
        <w:gridCol w:w="4788"/>
        <w:gridCol w:w="1080"/>
        <w:gridCol w:w="4742"/>
      </w:tblGrid>
      <w:tr w:rsidR="00A56D4A" w:rsidRPr="002666AD" w:rsidTr="00374268">
        <w:tc>
          <w:tcPr>
            <w:tcW w:w="4788" w:type="dxa"/>
            <w:vAlign w:val="center"/>
          </w:tcPr>
          <w:p w:rsidR="00A56D4A" w:rsidRPr="002666AD" w:rsidRDefault="00A56D4A" w:rsidP="00374268">
            <w:pPr>
              <w:ind w:right="-22"/>
              <w:jc w:val="center"/>
              <w:rPr>
                <w:b/>
              </w:rPr>
            </w:pPr>
            <w:r w:rsidRPr="002666AD">
              <w:rPr>
                <w:b/>
              </w:rPr>
              <w:t>PRIMAR,</w:t>
            </w:r>
          </w:p>
        </w:tc>
        <w:tc>
          <w:tcPr>
            <w:tcW w:w="1080" w:type="dxa"/>
            <w:vAlign w:val="center"/>
          </w:tcPr>
          <w:p w:rsidR="00A56D4A" w:rsidRPr="002666AD" w:rsidRDefault="00A56D4A" w:rsidP="00374268">
            <w:pPr>
              <w:ind w:right="-22"/>
              <w:jc w:val="center"/>
            </w:pPr>
          </w:p>
        </w:tc>
        <w:tc>
          <w:tcPr>
            <w:tcW w:w="4742" w:type="dxa"/>
            <w:vAlign w:val="center"/>
          </w:tcPr>
          <w:p w:rsidR="00A56D4A" w:rsidRPr="002666AD" w:rsidRDefault="00A56D4A" w:rsidP="00374268">
            <w:pPr>
              <w:ind w:right="-22"/>
              <w:jc w:val="center"/>
              <w:rPr>
                <w:b/>
              </w:rPr>
            </w:pPr>
            <w:r w:rsidRPr="002666AD">
              <w:rPr>
                <w:b/>
              </w:rPr>
              <w:t>VICEPRIMAR,</w:t>
            </w:r>
          </w:p>
        </w:tc>
      </w:tr>
      <w:tr w:rsidR="00A56D4A" w:rsidRPr="002666AD" w:rsidTr="00374268">
        <w:tc>
          <w:tcPr>
            <w:tcW w:w="4788" w:type="dxa"/>
            <w:vAlign w:val="center"/>
          </w:tcPr>
          <w:p w:rsidR="00A56D4A" w:rsidRPr="002666AD" w:rsidRDefault="00A56D4A" w:rsidP="00374268">
            <w:pPr>
              <w:ind w:right="-22"/>
              <w:jc w:val="center"/>
              <w:rPr>
                <w:i/>
              </w:rPr>
            </w:pPr>
            <w:r w:rsidRPr="002666AD">
              <w:rPr>
                <w:i/>
              </w:rPr>
              <w:t>DOMINIC SAMUEL FRITZ</w:t>
            </w:r>
          </w:p>
        </w:tc>
        <w:tc>
          <w:tcPr>
            <w:tcW w:w="1080" w:type="dxa"/>
            <w:vAlign w:val="center"/>
          </w:tcPr>
          <w:p w:rsidR="00A56D4A" w:rsidRPr="002666AD" w:rsidRDefault="00A56D4A" w:rsidP="00374268">
            <w:pPr>
              <w:ind w:right="-22"/>
              <w:jc w:val="center"/>
            </w:pPr>
          </w:p>
        </w:tc>
        <w:tc>
          <w:tcPr>
            <w:tcW w:w="4742" w:type="dxa"/>
            <w:vAlign w:val="center"/>
          </w:tcPr>
          <w:p w:rsidR="00A56D4A" w:rsidRPr="002666AD" w:rsidRDefault="00A56D4A" w:rsidP="00374268">
            <w:pPr>
              <w:ind w:right="-22"/>
              <w:jc w:val="center"/>
              <w:rPr>
                <w:i/>
              </w:rPr>
            </w:pPr>
            <w:r w:rsidRPr="002666AD">
              <w:rPr>
                <w:i/>
              </w:rPr>
              <w:t>RUBEN LAŢCĂU</w:t>
            </w:r>
          </w:p>
        </w:tc>
      </w:tr>
    </w:tbl>
    <w:p w:rsidR="00A56D4A" w:rsidRDefault="00A56D4A" w:rsidP="00A56D4A">
      <w:pPr>
        <w:pStyle w:val="ListParagraph"/>
        <w:tabs>
          <w:tab w:val="left" w:pos="0"/>
        </w:tabs>
        <w:spacing w:after="200"/>
        <w:ind w:left="0" w:firstLine="450"/>
        <w:jc w:val="both"/>
        <w:rPr>
          <w:rFonts w:ascii="Times New Roman" w:hAnsi="Times New Roman"/>
          <w:b/>
          <w:spacing w:val="-1"/>
          <w:sz w:val="24"/>
          <w:szCs w:val="24"/>
          <w:lang w:val="ro-RO"/>
        </w:rPr>
      </w:pPr>
    </w:p>
    <w:p w:rsidR="00281944" w:rsidRDefault="00281944" w:rsidP="00A56D4A">
      <w:pPr>
        <w:pStyle w:val="ListParagraph"/>
        <w:tabs>
          <w:tab w:val="left" w:pos="0"/>
        </w:tabs>
        <w:spacing w:after="200"/>
        <w:ind w:left="0" w:firstLine="450"/>
        <w:jc w:val="both"/>
        <w:rPr>
          <w:rFonts w:ascii="Times New Roman" w:hAnsi="Times New Roman"/>
          <w:b/>
          <w:spacing w:val="-1"/>
          <w:sz w:val="24"/>
          <w:szCs w:val="24"/>
          <w:lang w:val="ro-RO"/>
        </w:rPr>
      </w:pPr>
    </w:p>
    <w:p w:rsidR="00281944" w:rsidRPr="002666AD" w:rsidRDefault="00281944" w:rsidP="00A56D4A">
      <w:pPr>
        <w:pStyle w:val="ListParagraph"/>
        <w:tabs>
          <w:tab w:val="left" w:pos="0"/>
        </w:tabs>
        <w:spacing w:after="200"/>
        <w:ind w:left="0" w:firstLine="450"/>
        <w:jc w:val="both"/>
        <w:rPr>
          <w:rFonts w:ascii="Times New Roman" w:hAnsi="Times New Roman"/>
          <w:b/>
          <w:spacing w:val="-1"/>
          <w:sz w:val="24"/>
          <w:szCs w:val="24"/>
          <w:lang w:val="ro-RO"/>
        </w:rPr>
      </w:pPr>
    </w:p>
    <w:tbl>
      <w:tblPr>
        <w:tblW w:w="10610" w:type="dxa"/>
        <w:tblLook w:val="01E0"/>
      </w:tblPr>
      <w:tblGrid>
        <w:gridCol w:w="4788"/>
        <w:gridCol w:w="1080"/>
        <w:gridCol w:w="4742"/>
      </w:tblGrid>
      <w:tr w:rsidR="00A56D4A" w:rsidRPr="001C48EA" w:rsidTr="00374268">
        <w:tc>
          <w:tcPr>
            <w:tcW w:w="4788" w:type="dxa"/>
            <w:vAlign w:val="center"/>
          </w:tcPr>
          <w:p w:rsidR="00A56D4A" w:rsidRPr="001C48EA" w:rsidRDefault="00A56D4A" w:rsidP="00374268">
            <w:pPr>
              <w:ind w:right="-22"/>
              <w:jc w:val="center"/>
              <w:rPr>
                <w:b/>
              </w:rPr>
            </w:pPr>
          </w:p>
        </w:tc>
        <w:tc>
          <w:tcPr>
            <w:tcW w:w="1080" w:type="dxa"/>
            <w:vAlign w:val="center"/>
          </w:tcPr>
          <w:p w:rsidR="00A56D4A" w:rsidRPr="001C48EA" w:rsidRDefault="00A56D4A" w:rsidP="00374268">
            <w:pPr>
              <w:ind w:right="-22"/>
              <w:jc w:val="center"/>
            </w:pPr>
          </w:p>
        </w:tc>
        <w:tc>
          <w:tcPr>
            <w:tcW w:w="4742" w:type="dxa"/>
            <w:vAlign w:val="center"/>
          </w:tcPr>
          <w:p w:rsidR="00A56D4A" w:rsidRPr="001C48EA" w:rsidRDefault="00A6260F" w:rsidP="00374268">
            <w:pPr>
              <w:ind w:right="-22"/>
              <w:jc w:val="center"/>
              <w:rPr>
                <w:b/>
              </w:rPr>
            </w:pPr>
            <w:r>
              <w:rPr>
                <w:b/>
              </w:rPr>
              <w:t>MANAGER PROIECT</w:t>
            </w:r>
            <w:r w:rsidR="00A56D4A" w:rsidRPr="001C48EA">
              <w:rPr>
                <w:b/>
              </w:rPr>
              <w:t>,</w:t>
            </w:r>
          </w:p>
        </w:tc>
      </w:tr>
      <w:tr w:rsidR="00A56D4A" w:rsidRPr="001C48EA" w:rsidTr="00374268">
        <w:tc>
          <w:tcPr>
            <w:tcW w:w="4788" w:type="dxa"/>
            <w:vAlign w:val="center"/>
          </w:tcPr>
          <w:p w:rsidR="00A56D4A" w:rsidRPr="001C48EA" w:rsidRDefault="00A56D4A" w:rsidP="00374268">
            <w:pPr>
              <w:ind w:right="-22"/>
              <w:jc w:val="center"/>
              <w:rPr>
                <w:i/>
              </w:rPr>
            </w:pPr>
          </w:p>
        </w:tc>
        <w:tc>
          <w:tcPr>
            <w:tcW w:w="1080" w:type="dxa"/>
            <w:vAlign w:val="center"/>
          </w:tcPr>
          <w:p w:rsidR="00A56D4A" w:rsidRPr="001C48EA" w:rsidRDefault="00A56D4A" w:rsidP="00374268">
            <w:pPr>
              <w:ind w:right="-22"/>
              <w:jc w:val="center"/>
            </w:pPr>
          </w:p>
        </w:tc>
        <w:tc>
          <w:tcPr>
            <w:tcW w:w="4742" w:type="dxa"/>
            <w:vAlign w:val="center"/>
          </w:tcPr>
          <w:p w:rsidR="00A56D4A" w:rsidRPr="001C48EA" w:rsidRDefault="00A6260F" w:rsidP="00374268">
            <w:pPr>
              <w:ind w:right="-22"/>
              <w:jc w:val="center"/>
              <w:rPr>
                <w:i/>
              </w:rPr>
            </w:pPr>
            <w:r>
              <w:rPr>
                <w:i/>
              </w:rPr>
              <w:t>CULIŢĂ CHIŞ</w:t>
            </w:r>
            <w:r w:rsidR="003406A4">
              <w:rPr>
                <w:i/>
              </w:rPr>
              <w:t xml:space="preserve">  </w:t>
            </w:r>
          </w:p>
        </w:tc>
      </w:tr>
    </w:tbl>
    <w:p w:rsidR="00686F82" w:rsidRPr="00DB5948" w:rsidRDefault="00686F82" w:rsidP="00686F82"/>
    <w:p w:rsidR="00686F82" w:rsidRPr="00DB5948" w:rsidRDefault="00686F82" w:rsidP="00686F82"/>
    <w:p w:rsidR="00601132" w:rsidRPr="00DB5948" w:rsidRDefault="00601132"/>
    <w:sectPr w:rsidR="00601132" w:rsidRPr="00DB5948" w:rsidSect="001B0FFE">
      <w:footerReference w:type="default" r:id="rId8"/>
      <w:pgSz w:w="12240" w:h="15840"/>
      <w:pgMar w:top="900" w:right="1080" w:bottom="576" w:left="1440" w:header="706" w:footer="3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2CB" w:rsidRDefault="00C472CB" w:rsidP="001C258E">
      <w:r>
        <w:separator/>
      </w:r>
    </w:p>
  </w:endnote>
  <w:endnote w:type="continuationSeparator" w:id="0">
    <w:p w:rsidR="00C472CB" w:rsidRDefault="00C472CB" w:rsidP="001C2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Forte">
    <w:altName w:val="Arabic Typesetting"/>
    <w:charset w:val="00"/>
    <w:family w:val="script"/>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944" w:rsidRDefault="00281944">
    <w:pPr>
      <w:pStyle w:val="Footer"/>
      <w:pBdr>
        <w:top w:val="thinThickSmallGap" w:sz="24" w:space="1" w:color="622423" w:themeColor="accent2" w:themeShade="7F"/>
      </w:pBdr>
      <w:rPr>
        <w:rFonts w:asciiTheme="majorHAnsi" w:hAnsiTheme="majorHAnsi"/>
      </w:rPr>
    </w:pPr>
    <w:r>
      <w:rPr>
        <w:rFonts w:asciiTheme="majorHAnsi" w:hAnsiTheme="majorHAnsi"/>
      </w:rPr>
      <w:t>Cod FO 53-03, ver. 2</w:t>
    </w:r>
    <w:r>
      <w:rPr>
        <w:rFonts w:asciiTheme="majorHAnsi" w:hAnsiTheme="majorHAnsi"/>
      </w:rPr>
      <w:ptab w:relativeTo="margin" w:alignment="right" w:leader="none"/>
    </w:r>
    <w:r>
      <w:rPr>
        <w:rFonts w:asciiTheme="majorHAnsi" w:hAnsiTheme="majorHAnsi"/>
      </w:rPr>
      <w:t xml:space="preserve">Page </w:t>
    </w:r>
    <w:fldSimple w:instr=" PAGE   \* MERGEFORMAT ">
      <w:r w:rsidR="00D27FBD" w:rsidRPr="00D27FBD">
        <w:rPr>
          <w:rFonts w:asciiTheme="majorHAnsi" w:hAnsiTheme="majorHAnsi"/>
          <w:noProof/>
        </w:rPr>
        <w:t>2</w:t>
      </w:r>
    </w:fldSimple>
  </w:p>
  <w:p w:rsidR="003D25D9" w:rsidRPr="00CD4691" w:rsidRDefault="00C472CB" w:rsidP="00477823">
    <w:pPr>
      <w:autoSpaceDE w:val="0"/>
      <w:autoSpaceDN w:val="0"/>
      <w:adjustRightInd w:val="0"/>
      <w:ind w:left="4320" w:right="-647" w:firstLine="72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2CB" w:rsidRDefault="00C472CB" w:rsidP="001C258E">
      <w:r>
        <w:separator/>
      </w:r>
    </w:p>
  </w:footnote>
  <w:footnote w:type="continuationSeparator" w:id="0">
    <w:p w:rsidR="00C472CB" w:rsidRDefault="00C472CB" w:rsidP="001C25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BD3015"/>
    <w:multiLevelType w:val="hybridMultilevel"/>
    <w:tmpl w:val="1D023C24"/>
    <w:lvl w:ilvl="0" w:tplc="53AA3568">
      <w:numFmt w:val="bullet"/>
      <w:lvlText w:val="-"/>
      <w:lvlJc w:val="left"/>
      <w:pPr>
        <w:ind w:left="360" w:hanging="360"/>
      </w:pPr>
      <w:rPr>
        <w:rFonts w:ascii="Arial" w:eastAsia="Times New Roman" w:hAnsi="Arial"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7BDC7BB3"/>
    <w:multiLevelType w:val="hybridMultilevel"/>
    <w:tmpl w:val="CAFCDFB8"/>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86F82"/>
    <w:rsid w:val="00014F41"/>
    <w:rsid w:val="00052F4F"/>
    <w:rsid w:val="000A6065"/>
    <w:rsid w:val="000D4A01"/>
    <w:rsid w:val="000E62C6"/>
    <w:rsid w:val="00127B76"/>
    <w:rsid w:val="00153C8A"/>
    <w:rsid w:val="00182DA3"/>
    <w:rsid w:val="001B0FFE"/>
    <w:rsid w:val="001C0C40"/>
    <w:rsid w:val="001C258E"/>
    <w:rsid w:val="001C4A5B"/>
    <w:rsid w:val="001C785B"/>
    <w:rsid w:val="00206546"/>
    <w:rsid w:val="00260EC5"/>
    <w:rsid w:val="00281944"/>
    <w:rsid w:val="002A6497"/>
    <w:rsid w:val="002C2AE6"/>
    <w:rsid w:val="00313B4A"/>
    <w:rsid w:val="003406A4"/>
    <w:rsid w:val="00351187"/>
    <w:rsid w:val="00363710"/>
    <w:rsid w:val="00377C58"/>
    <w:rsid w:val="00384498"/>
    <w:rsid w:val="003A60CA"/>
    <w:rsid w:val="003C0BE1"/>
    <w:rsid w:val="003F5CEA"/>
    <w:rsid w:val="003F65C1"/>
    <w:rsid w:val="00490487"/>
    <w:rsid w:val="004A0E84"/>
    <w:rsid w:val="004B097B"/>
    <w:rsid w:val="005219A7"/>
    <w:rsid w:val="005607A7"/>
    <w:rsid w:val="00601132"/>
    <w:rsid w:val="00615E78"/>
    <w:rsid w:val="00674FE7"/>
    <w:rsid w:val="00686F82"/>
    <w:rsid w:val="00690DE2"/>
    <w:rsid w:val="007909B2"/>
    <w:rsid w:val="00812AE4"/>
    <w:rsid w:val="00817F13"/>
    <w:rsid w:val="0092230B"/>
    <w:rsid w:val="00994426"/>
    <w:rsid w:val="009D212D"/>
    <w:rsid w:val="00A37A82"/>
    <w:rsid w:val="00A56D4A"/>
    <w:rsid w:val="00A6260F"/>
    <w:rsid w:val="00AE5DC7"/>
    <w:rsid w:val="00B0030A"/>
    <w:rsid w:val="00B317C6"/>
    <w:rsid w:val="00B357CD"/>
    <w:rsid w:val="00BA7655"/>
    <w:rsid w:val="00C472CB"/>
    <w:rsid w:val="00C644F3"/>
    <w:rsid w:val="00CA22FA"/>
    <w:rsid w:val="00CE6140"/>
    <w:rsid w:val="00CF0CB1"/>
    <w:rsid w:val="00D27FBD"/>
    <w:rsid w:val="00D8436F"/>
    <w:rsid w:val="00DB5948"/>
    <w:rsid w:val="00DC5186"/>
    <w:rsid w:val="00F150CC"/>
    <w:rsid w:val="00F25890"/>
    <w:rsid w:val="00F314C9"/>
    <w:rsid w:val="00F37AC6"/>
    <w:rsid w:val="00F86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82"/>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86F82"/>
    <w:pPr>
      <w:ind w:left="720"/>
      <w:contextualSpacing/>
    </w:pPr>
    <w:rPr>
      <w:rFonts w:ascii="Calibri" w:hAnsi="Calibri"/>
      <w:sz w:val="22"/>
      <w:szCs w:val="22"/>
      <w:lang w:val="en-US" w:eastAsia="en-US"/>
    </w:rPr>
  </w:style>
  <w:style w:type="paragraph" w:styleId="BodyText">
    <w:name w:val="Body Text"/>
    <w:basedOn w:val="Normal"/>
    <w:link w:val="BodyTextChar"/>
    <w:rsid w:val="00686F82"/>
    <w:pPr>
      <w:spacing w:after="120"/>
    </w:pPr>
  </w:style>
  <w:style w:type="character" w:customStyle="1" w:styleId="BodyTextChar">
    <w:name w:val="Body Text Char"/>
    <w:basedOn w:val="DefaultParagraphFont"/>
    <w:link w:val="BodyText"/>
    <w:rsid w:val="00686F82"/>
    <w:rPr>
      <w:rFonts w:ascii="Times New Roman" w:eastAsia="Times New Roman" w:hAnsi="Times New Roman" w:cs="Times New Roman"/>
      <w:sz w:val="24"/>
      <w:szCs w:val="24"/>
      <w:lang w:val="ro-RO" w:eastAsia="en-GB"/>
    </w:rPr>
  </w:style>
  <w:style w:type="paragraph" w:styleId="BodyTextIndent2">
    <w:name w:val="Body Text Indent 2"/>
    <w:basedOn w:val="Normal"/>
    <w:link w:val="BodyTextIndent2Char"/>
    <w:rsid w:val="00686F82"/>
    <w:pPr>
      <w:spacing w:after="120" w:line="480" w:lineRule="auto"/>
      <w:ind w:left="283"/>
    </w:pPr>
    <w:rPr>
      <w:lang w:val="en-GB"/>
    </w:rPr>
  </w:style>
  <w:style w:type="character" w:customStyle="1" w:styleId="BodyTextIndent2Char">
    <w:name w:val="Body Text Indent 2 Char"/>
    <w:basedOn w:val="DefaultParagraphFont"/>
    <w:link w:val="BodyTextIndent2"/>
    <w:rsid w:val="00686F82"/>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86F82"/>
    <w:rPr>
      <w:rFonts w:ascii="Tahoma" w:hAnsi="Tahoma" w:cs="Tahoma"/>
      <w:sz w:val="16"/>
      <w:szCs w:val="16"/>
    </w:rPr>
  </w:style>
  <w:style w:type="character" w:customStyle="1" w:styleId="BalloonTextChar">
    <w:name w:val="Balloon Text Char"/>
    <w:basedOn w:val="DefaultParagraphFont"/>
    <w:link w:val="BalloonText"/>
    <w:uiPriority w:val="99"/>
    <w:semiHidden/>
    <w:rsid w:val="00686F82"/>
    <w:rPr>
      <w:rFonts w:ascii="Tahoma" w:eastAsia="Times New Roman" w:hAnsi="Tahoma" w:cs="Tahoma"/>
      <w:sz w:val="16"/>
      <w:szCs w:val="16"/>
      <w:lang w:val="ro-RO" w:eastAsia="en-GB"/>
    </w:rPr>
  </w:style>
  <w:style w:type="paragraph" w:customStyle="1" w:styleId="Default">
    <w:name w:val="Default"/>
    <w:rsid w:val="00B317C6"/>
    <w:pPr>
      <w:autoSpaceDE w:val="0"/>
      <w:autoSpaceDN w:val="0"/>
      <w:adjustRightInd w:val="0"/>
      <w:spacing w:after="0" w:line="240" w:lineRule="auto"/>
    </w:pPr>
    <w:rPr>
      <w:rFonts w:ascii="Forte" w:eastAsia="Times New Roman" w:hAnsi="Forte" w:cs="Forte"/>
      <w:color w:val="000000"/>
      <w:sz w:val="24"/>
      <w:szCs w:val="24"/>
      <w:lang w:val="ro-RO" w:eastAsia="ro-RO"/>
    </w:rPr>
  </w:style>
  <w:style w:type="paragraph" w:styleId="Header">
    <w:name w:val="header"/>
    <w:basedOn w:val="Normal"/>
    <w:link w:val="HeaderChar"/>
    <w:uiPriority w:val="99"/>
    <w:semiHidden/>
    <w:unhideWhenUsed/>
    <w:rsid w:val="00281944"/>
    <w:pPr>
      <w:tabs>
        <w:tab w:val="center" w:pos="4703"/>
        <w:tab w:val="right" w:pos="9406"/>
      </w:tabs>
    </w:pPr>
  </w:style>
  <w:style w:type="character" w:customStyle="1" w:styleId="HeaderChar">
    <w:name w:val="Header Char"/>
    <w:basedOn w:val="DefaultParagraphFont"/>
    <w:link w:val="Header"/>
    <w:uiPriority w:val="99"/>
    <w:semiHidden/>
    <w:rsid w:val="00281944"/>
    <w:rPr>
      <w:rFonts w:ascii="Times New Roman" w:eastAsia="Times New Roman" w:hAnsi="Times New Roman" w:cs="Times New Roman"/>
      <w:sz w:val="24"/>
      <w:szCs w:val="24"/>
      <w:lang w:val="ro-RO" w:eastAsia="en-GB"/>
    </w:rPr>
  </w:style>
  <w:style w:type="paragraph" w:styleId="Footer">
    <w:name w:val="footer"/>
    <w:basedOn w:val="Normal"/>
    <w:link w:val="FooterChar"/>
    <w:uiPriority w:val="99"/>
    <w:unhideWhenUsed/>
    <w:rsid w:val="00281944"/>
    <w:pPr>
      <w:tabs>
        <w:tab w:val="center" w:pos="4703"/>
        <w:tab w:val="right" w:pos="9406"/>
      </w:tabs>
    </w:pPr>
  </w:style>
  <w:style w:type="character" w:customStyle="1" w:styleId="FooterChar">
    <w:name w:val="Footer Char"/>
    <w:basedOn w:val="DefaultParagraphFont"/>
    <w:link w:val="Footer"/>
    <w:uiPriority w:val="99"/>
    <w:rsid w:val="00281944"/>
    <w:rPr>
      <w:rFonts w:ascii="Times New Roman" w:eastAsia="Times New Roman" w:hAnsi="Times New Roman" w:cs="Times New Roman"/>
      <w:sz w:val="24"/>
      <w:szCs w:val="24"/>
      <w:lang w:val="ro-RO"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39</cp:revision>
  <cp:lastPrinted>2022-04-13T08:30:00Z</cp:lastPrinted>
  <dcterms:created xsi:type="dcterms:W3CDTF">2020-04-08T09:24:00Z</dcterms:created>
  <dcterms:modified xsi:type="dcterms:W3CDTF">2022-04-19T12:19:00Z</dcterms:modified>
</cp:coreProperties>
</file>