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A4" w:rsidRPr="00D63EE3" w:rsidRDefault="003667A4" w:rsidP="003667A4">
      <w:pPr>
        <w:jc w:val="both"/>
        <w:rPr>
          <w:lang w:val="ro-RO"/>
        </w:rPr>
      </w:pPr>
    </w:p>
    <w:p w:rsidR="003667A4" w:rsidRPr="00D63EE3" w:rsidRDefault="003667A4" w:rsidP="00BD059D">
      <w:pPr>
        <w:rPr>
          <w:lang w:val="ro-RO"/>
        </w:rPr>
      </w:pPr>
      <w:r w:rsidRPr="00D63EE3">
        <w:rPr>
          <w:lang w:val="ro-RO"/>
        </w:rPr>
        <w:t xml:space="preserve">CONSILIUL LOCAL AL MUNICIPIULUI TIMIŞOARA   </w:t>
      </w:r>
      <w:r w:rsidR="00BD059D" w:rsidRPr="00D63EE3">
        <w:rPr>
          <w:lang w:val="ro-RO"/>
        </w:rPr>
        <w:t xml:space="preserve">                     </w:t>
      </w:r>
      <w:r w:rsidR="006E007F" w:rsidRPr="00D63EE3">
        <w:rPr>
          <w:lang w:val="ro-RO"/>
        </w:rPr>
        <w:t xml:space="preserve">               </w:t>
      </w:r>
      <w:r w:rsidR="0058711A">
        <w:rPr>
          <w:lang w:val="ro-RO"/>
        </w:rPr>
        <w:t xml:space="preserve">     </w:t>
      </w:r>
      <w:r w:rsidR="006E007F" w:rsidRPr="00D63EE3">
        <w:rPr>
          <w:lang w:val="ro-RO"/>
        </w:rPr>
        <w:t xml:space="preserve"> </w:t>
      </w:r>
      <w:r w:rsidR="00BD059D" w:rsidRPr="00D63EE3">
        <w:rPr>
          <w:lang w:val="ro-RO"/>
        </w:rPr>
        <w:t>Aprobat,</w:t>
      </w:r>
      <w:r w:rsidRPr="00D63EE3">
        <w:rPr>
          <w:lang w:val="ro-RO"/>
        </w:rPr>
        <w:t xml:space="preserve">                                   </w:t>
      </w:r>
      <w:r w:rsidR="00BD059D" w:rsidRPr="00D63EE3">
        <w:rPr>
          <w:lang w:val="ro-RO"/>
        </w:rPr>
        <w:t xml:space="preserve">    </w:t>
      </w:r>
    </w:p>
    <w:p w:rsidR="003667A4" w:rsidRPr="00D63EE3" w:rsidRDefault="003667A4" w:rsidP="00BD059D">
      <w:pPr>
        <w:rPr>
          <w:lang w:val="ro-RO"/>
        </w:rPr>
      </w:pPr>
      <w:r w:rsidRPr="00D63EE3">
        <w:rPr>
          <w:lang w:val="ro-RO"/>
        </w:rPr>
        <w:t>Direcţia  de Asiste</w:t>
      </w:r>
      <w:r w:rsidR="00FB7DB0" w:rsidRPr="00D63EE3">
        <w:rPr>
          <w:lang w:val="ro-RO"/>
        </w:rPr>
        <w:t xml:space="preserve">nţă Socială Comunitară                  </w:t>
      </w:r>
      <w:r w:rsidRPr="00D63EE3">
        <w:rPr>
          <w:lang w:val="ro-RO"/>
        </w:rPr>
        <w:t xml:space="preserve">      </w:t>
      </w:r>
      <w:r w:rsidR="00BD059D" w:rsidRPr="00D63EE3">
        <w:rPr>
          <w:lang w:val="ro-RO"/>
        </w:rPr>
        <w:t xml:space="preserve">                         </w:t>
      </w:r>
      <w:r w:rsidR="006E007F" w:rsidRPr="00D63EE3">
        <w:rPr>
          <w:lang w:val="ro-RO"/>
        </w:rPr>
        <w:t xml:space="preserve">          </w:t>
      </w:r>
      <w:r w:rsidR="00BD059D" w:rsidRPr="00D63EE3">
        <w:rPr>
          <w:lang w:val="ro-RO"/>
        </w:rPr>
        <w:t xml:space="preserve">  </w:t>
      </w:r>
      <w:r w:rsidR="006E007F" w:rsidRPr="00D63EE3">
        <w:rPr>
          <w:lang w:val="ro-RO"/>
        </w:rPr>
        <w:t xml:space="preserve">     </w:t>
      </w:r>
      <w:r w:rsidR="0058711A">
        <w:rPr>
          <w:lang w:val="ro-RO"/>
        </w:rPr>
        <w:t xml:space="preserve">    </w:t>
      </w:r>
      <w:r w:rsidR="006E007F" w:rsidRPr="00D63EE3">
        <w:rPr>
          <w:lang w:val="ro-RO"/>
        </w:rPr>
        <w:t xml:space="preserve"> </w:t>
      </w:r>
      <w:r w:rsidRPr="00D63EE3">
        <w:rPr>
          <w:lang w:val="ro-RO"/>
        </w:rPr>
        <w:t xml:space="preserve">PRIMAR </w:t>
      </w:r>
    </w:p>
    <w:p w:rsidR="003667A4" w:rsidRPr="00D63EE3" w:rsidRDefault="00193C39" w:rsidP="00BD059D">
      <w:pPr>
        <w:rPr>
          <w:lang w:val="ro-RO"/>
        </w:rPr>
      </w:pPr>
      <w:r w:rsidRPr="00D63EE3">
        <w:rPr>
          <w:lang w:val="ro-RO"/>
        </w:rPr>
        <w:t>Nr.</w:t>
      </w:r>
      <w:r w:rsidR="00995874">
        <w:rPr>
          <w:lang w:val="ro-RO"/>
        </w:rPr>
        <w:t xml:space="preserve"> </w:t>
      </w:r>
      <w:r w:rsidR="00244DF5">
        <w:rPr>
          <w:lang w:val="ro-RO"/>
        </w:rPr>
        <w:t>1353/02.04.2014</w:t>
      </w:r>
      <w:r w:rsidR="003667A4" w:rsidRPr="00D63EE3">
        <w:rPr>
          <w:lang w:val="ro-RO"/>
        </w:rPr>
        <w:t xml:space="preserve">                </w:t>
      </w:r>
      <w:r w:rsidRPr="00D63EE3">
        <w:rPr>
          <w:lang w:val="ro-RO"/>
        </w:rPr>
        <w:t xml:space="preserve">            </w:t>
      </w:r>
      <w:r w:rsidR="006E0B36" w:rsidRPr="00D63EE3">
        <w:rPr>
          <w:lang w:val="ro-RO"/>
        </w:rPr>
        <w:t xml:space="preserve">          </w:t>
      </w:r>
      <w:r w:rsidR="00120022" w:rsidRPr="00D63EE3">
        <w:rPr>
          <w:lang w:val="ro-RO"/>
        </w:rPr>
        <w:t xml:space="preserve">   </w:t>
      </w:r>
      <w:r w:rsidRPr="00D63EE3">
        <w:rPr>
          <w:lang w:val="ro-RO"/>
        </w:rPr>
        <w:t xml:space="preserve"> </w:t>
      </w:r>
      <w:r w:rsidR="006E007F" w:rsidRPr="00D63EE3">
        <w:rPr>
          <w:lang w:val="ro-RO"/>
        </w:rPr>
        <w:t xml:space="preserve">                     </w:t>
      </w:r>
      <w:r w:rsidRPr="00D63EE3">
        <w:rPr>
          <w:lang w:val="ro-RO"/>
        </w:rPr>
        <w:t xml:space="preserve"> </w:t>
      </w:r>
      <w:r w:rsidR="00995874">
        <w:rPr>
          <w:lang w:val="ro-RO"/>
        </w:rPr>
        <w:t xml:space="preserve">             </w:t>
      </w:r>
      <w:r w:rsidR="0058711A">
        <w:rPr>
          <w:lang w:val="ro-RO"/>
        </w:rPr>
        <w:t xml:space="preserve">          </w:t>
      </w:r>
      <w:r w:rsidR="00244DF5">
        <w:rPr>
          <w:lang w:val="ro-RO"/>
        </w:rPr>
        <w:t xml:space="preserve">      </w:t>
      </w:r>
      <w:r w:rsidR="0058711A">
        <w:rPr>
          <w:lang w:val="ro-RO"/>
        </w:rPr>
        <w:t>NICOLAE ROBU</w:t>
      </w:r>
    </w:p>
    <w:p w:rsidR="00990857" w:rsidRPr="00D63EE3" w:rsidRDefault="00990857" w:rsidP="00BD059D">
      <w:pPr>
        <w:rPr>
          <w:caps/>
          <w:lang w:val="ro-RO"/>
        </w:rPr>
      </w:pPr>
    </w:p>
    <w:p w:rsidR="00CA5753" w:rsidRPr="00BD059D" w:rsidRDefault="00CA5753" w:rsidP="00CA5753">
      <w:pPr>
        <w:jc w:val="center"/>
        <w:rPr>
          <w:b/>
          <w:lang w:val="ro-RO"/>
        </w:rPr>
      </w:pPr>
      <w:r w:rsidRPr="00BD059D">
        <w:rPr>
          <w:b/>
          <w:lang w:val="ro-RO"/>
        </w:rPr>
        <w:t>R E F E R A T</w:t>
      </w:r>
    </w:p>
    <w:p w:rsidR="00547C15" w:rsidRPr="0032764A" w:rsidRDefault="00CA5753" w:rsidP="00CA5753">
      <w:pPr>
        <w:jc w:val="center"/>
        <w:rPr>
          <w:lang w:val="ro-RO"/>
        </w:rPr>
      </w:pPr>
      <w:r w:rsidRPr="0032764A">
        <w:rPr>
          <w:lang w:val="ro-RO"/>
        </w:rPr>
        <w:t>privind</w:t>
      </w:r>
      <w:r>
        <w:rPr>
          <w:lang w:val="ro-RO"/>
        </w:rPr>
        <w:t xml:space="preserve"> aprobarea </w:t>
      </w:r>
      <w:r w:rsidRPr="0032764A">
        <w:rPr>
          <w:lang w:val="ro-RO"/>
        </w:rPr>
        <w:t>î</w:t>
      </w:r>
      <w:r>
        <w:rPr>
          <w:lang w:val="ro-RO"/>
        </w:rPr>
        <w:t>ncheierii</w:t>
      </w:r>
      <w:r w:rsidRPr="0032764A">
        <w:rPr>
          <w:lang w:val="ro-RO"/>
        </w:rPr>
        <w:t xml:space="preserve"> actului adiţional </w:t>
      </w:r>
      <w:r>
        <w:rPr>
          <w:lang w:val="ro-RO"/>
        </w:rPr>
        <w:t xml:space="preserve"> de </w:t>
      </w:r>
      <w:r w:rsidRPr="0032764A">
        <w:rPr>
          <w:lang w:val="ro-RO"/>
        </w:rPr>
        <w:t xml:space="preserve">prelungire </w:t>
      </w:r>
      <w:r w:rsidR="00617B0D">
        <w:rPr>
          <w:lang w:val="ro-RO"/>
        </w:rPr>
        <w:t>cu un an, până la data de 26.05.2015</w:t>
      </w:r>
      <w:r w:rsidRPr="0032764A">
        <w:rPr>
          <w:lang w:val="ro-RO"/>
        </w:rPr>
        <w:t xml:space="preserve"> a Convenţiei- anexa la Hotărârea Consiliului Local al Municipiului Timişoara nr. </w:t>
      </w:r>
      <w:r w:rsidR="00096154">
        <w:rPr>
          <w:lang w:val="ro-RO"/>
        </w:rPr>
        <w:t>217/26.05.2009</w:t>
      </w:r>
      <w:r>
        <w:rPr>
          <w:lang w:val="ro-RO"/>
        </w:rPr>
        <w:t xml:space="preserve"> </w:t>
      </w:r>
      <w:r w:rsidRPr="0032764A">
        <w:rPr>
          <w:lang w:val="ro-RO"/>
        </w:rPr>
        <w:t xml:space="preserve">încheiată între Consiliul Local al Municipiului Timişoara şi </w:t>
      </w:r>
      <w:r w:rsidR="00547C15">
        <w:rPr>
          <w:lang w:val="ro-RO"/>
        </w:rPr>
        <w:t>Serviciul de Ajutor Maltez în România</w:t>
      </w:r>
    </w:p>
    <w:p w:rsidR="00990857" w:rsidRDefault="00990857" w:rsidP="00480ED5">
      <w:pPr>
        <w:rPr>
          <w:i/>
          <w:lang w:val="ro-RO"/>
        </w:rPr>
      </w:pPr>
      <w:r w:rsidRPr="00D63EE3">
        <w:rPr>
          <w:i/>
          <w:lang w:val="ro-RO"/>
        </w:rPr>
        <w:t xml:space="preserve"> </w:t>
      </w:r>
    </w:p>
    <w:p w:rsidR="00CA5753" w:rsidRPr="00CA5753" w:rsidRDefault="00CA5753" w:rsidP="00480ED5">
      <w:pPr>
        <w:rPr>
          <w:lang w:val="ro-RO"/>
        </w:rPr>
      </w:pPr>
    </w:p>
    <w:p w:rsidR="00547C15" w:rsidRPr="00094C0F" w:rsidRDefault="00547C15" w:rsidP="00547C15">
      <w:pPr>
        <w:tabs>
          <w:tab w:val="left" w:pos="9072"/>
        </w:tabs>
        <w:jc w:val="both"/>
        <w:rPr>
          <w:lang w:val="ro-RO"/>
        </w:rPr>
      </w:pPr>
      <w:r w:rsidRPr="00094C0F">
        <w:rPr>
          <w:lang w:val="ro-RO"/>
        </w:rPr>
        <w:t>Serviciul de Ajutor Maltez în România - filiala Timişoara</w:t>
      </w:r>
      <w:r w:rsidR="0058711A">
        <w:rPr>
          <w:lang w:val="ro-RO"/>
        </w:rPr>
        <w:t>,</w:t>
      </w:r>
      <w:r w:rsidRPr="00094C0F">
        <w:rPr>
          <w:lang w:val="ro-RO"/>
        </w:rPr>
        <w:t xml:space="preserve"> cu sediul în Municipiul Timişoara, str. </w:t>
      </w:r>
      <w:r w:rsidR="00CA5753">
        <w:rPr>
          <w:lang w:val="ro-RO"/>
        </w:rPr>
        <w:t>Gh. Bariţiu, nr. 18</w:t>
      </w:r>
      <w:r w:rsidRPr="00094C0F">
        <w:rPr>
          <w:lang w:val="ro-RO"/>
        </w:rPr>
        <w:t xml:space="preserve"> este o organizaţie neguvernamentală care furnizează servicii sociale destinate persoanelor vârstnice</w:t>
      </w:r>
      <w:r w:rsidR="0058711A">
        <w:rPr>
          <w:lang w:val="ro-RO"/>
        </w:rPr>
        <w:t>, de tip rezidenţial sau nerezidenţial,</w:t>
      </w:r>
      <w:r w:rsidRPr="00094C0F">
        <w:rPr>
          <w:lang w:val="ro-RO"/>
        </w:rPr>
        <w:t xml:space="preserve"> </w:t>
      </w:r>
      <w:r w:rsidR="0058711A">
        <w:rPr>
          <w:lang w:val="ro-RO"/>
        </w:rPr>
        <w:t>după cum urmează</w:t>
      </w:r>
      <w:r w:rsidRPr="00094C0F">
        <w:rPr>
          <w:lang w:val="ro-RO"/>
        </w:rPr>
        <w:t xml:space="preserve">: îngrijire la domiciliu, cantină socială şi cămin </w:t>
      </w:r>
      <w:r w:rsidR="0058711A">
        <w:rPr>
          <w:lang w:val="ro-RO"/>
        </w:rPr>
        <w:t>pentru persoane vârstnice</w:t>
      </w:r>
      <w:r w:rsidRPr="00094C0F">
        <w:rPr>
          <w:lang w:val="ro-RO"/>
        </w:rPr>
        <w:t xml:space="preserve">. </w:t>
      </w:r>
    </w:p>
    <w:p w:rsidR="00547C15" w:rsidRPr="00094C0F" w:rsidRDefault="00547C15" w:rsidP="00547C15">
      <w:pPr>
        <w:tabs>
          <w:tab w:val="left" w:pos="9072"/>
        </w:tabs>
        <w:jc w:val="both"/>
        <w:rPr>
          <w:lang w:val="ro-RO"/>
        </w:rPr>
      </w:pPr>
    </w:p>
    <w:p w:rsidR="00547C15" w:rsidRDefault="00547C15" w:rsidP="00547C15">
      <w:pPr>
        <w:jc w:val="both"/>
        <w:rPr>
          <w:lang w:val="ro-RO"/>
        </w:rPr>
      </w:pPr>
      <w:r w:rsidRPr="00094C0F">
        <w:rPr>
          <w:lang w:val="ro-RO"/>
        </w:rPr>
        <w:t>Începând cu  anul 2008</w:t>
      </w:r>
      <w:r w:rsidR="00746762">
        <w:rPr>
          <w:lang w:val="ro-RO"/>
        </w:rPr>
        <w:t>,</w:t>
      </w:r>
      <w:r w:rsidRPr="00094C0F">
        <w:rPr>
          <w:lang w:val="ro-RO"/>
        </w:rPr>
        <w:t xml:space="preserve"> o parte din serviciile furnizate de Serviciul de Ajutor Maltez în România - filiala Timişoar</w:t>
      </w:r>
      <w:r w:rsidR="00746762">
        <w:rPr>
          <w:lang w:val="ro-RO"/>
        </w:rPr>
        <w:t>a şi anume</w:t>
      </w:r>
      <w:r w:rsidRPr="00094C0F">
        <w:rPr>
          <w:lang w:val="ro-RO"/>
        </w:rPr>
        <w:t xml:space="preserve"> Centrul de zi– Clubul Seniorilor şi Serviciul de îngrijire la domiciliu, au fost finanţate de către Consiliului Local al Municipiului Timişoara, </w:t>
      </w:r>
      <w:r>
        <w:rPr>
          <w:lang w:val="ro-RO"/>
        </w:rPr>
        <w:t>conform Hotărârii nr. 77/26.02.2008. În anii</w:t>
      </w:r>
      <w:r w:rsidRPr="00094C0F">
        <w:rPr>
          <w:lang w:val="ro-RO"/>
        </w:rPr>
        <w:t xml:space="preserve"> 2009</w:t>
      </w:r>
      <w:r>
        <w:rPr>
          <w:lang w:val="ro-RO"/>
        </w:rPr>
        <w:t>, 2010</w:t>
      </w:r>
      <w:r w:rsidRPr="00094C0F">
        <w:rPr>
          <w:lang w:val="ro-RO"/>
        </w:rPr>
        <w:t xml:space="preserve">, </w:t>
      </w:r>
      <w:r w:rsidR="00746762">
        <w:rPr>
          <w:lang w:val="ro-RO"/>
        </w:rPr>
        <w:t>2011,</w:t>
      </w:r>
      <w:r w:rsidR="0058711A">
        <w:rPr>
          <w:lang w:val="ro-RO"/>
        </w:rPr>
        <w:t xml:space="preserve"> 2012</w:t>
      </w:r>
      <w:r w:rsidR="00746762">
        <w:rPr>
          <w:lang w:val="ro-RO"/>
        </w:rPr>
        <w:t xml:space="preserve"> şi 2013</w:t>
      </w:r>
      <w:r w:rsidR="0058711A">
        <w:rPr>
          <w:lang w:val="ro-RO"/>
        </w:rPr>
        <w:t xml:space="preserve"> </w:t>
      </w:r>
      <w:r w:rsidRPr="00094C0F">
        <w:rPr>
          <w:lang w:val="ro-RO"/>
        </w:rPr>
        <w:t xml:space="preserve">Serviciul de Ajutor Maltez în România - filiala Timişoara a solicitat şi obţinut susţinere financiară doar pentru </w:t>
      </w:r>
      <w:r w:rsidRPr="0006758B">
        <w:rPr>
          <w:b/>
          <w:lang w:val="ro-RO"/>
        </w:rPr>
        <w:t>serviciul de îngrijire la domiciliu</w:t>
      </w:r>
      <w:r w:rsidRPr="00094C0F">
        <w:rPr>
          <w:lang w:val="ro-RO"/>
        </w:rPr>
        <w:t xml:space="preserve">, asigurându-se  plata  contravalorii salariilor  pentru 4 (patru) persoane </w:t>
      </w:r>
      <w:r w:rsidR="00746762">
        <w:rPr>
          <w:lang w:val="ro-RO"/>
        </w:rPr>
        <w:t xml:space="preserve">angajate pe posturi de îngrijitoare </w:t>
      </w:r>
      <w:r w:rsidR="002645B4">
        <w:rPr>
          <w:lang w:val="ro-RO"/>
        </w:rPr>
        <w:t>bătrâni</w:t>
      </w:r>
      <w:r w:rsidRPr="00094C0F">
        <w:rPr>
          <w:lang w:val="ro-RO"/>
        </w:rPr>
        <w:t>, conform sistemului de stabilire a salariilor de bază în sec</w:t>
      </w:r>
      <w:r w:rsidR="00746762">
        <w:rPr>
          <w:lang w:val="ro-RO"/>
        </w:rPr>
        <w:t>torul bugetar, în baza Hotărârilor</w:t>
      </w:r>
      <w:r w:rsidRPr="00094C0F">
        <w:rPr>
          <w:lang w:val="ro-RO"/>
        </w:rPr>
        <w:t xml:space="preserve"> Consiliului Local nr. 217/26.05.2009</w:t>
      </w:r>
      <w:r>
        <w:rPr>
          <w:lang w:val="ro-RO"/>
        </w:rPr>
        <w:t>, nr. 247/29.06.2010</w:t>
      </w:r>
      <w:r w:rsidR="0058711A">
        <w:rPr>
          <w:lang w:val="ro-RO"/>
        </w:rPr>
        <w:t>,</w:t>
      </w:r>
      <w:r>
        <w:rPr>
          <w:lang w:val="ro-RO"/>
        </w:rPr>
        <w:t xml:space="preserve">  nr.248/12.07.2011</w:t>
      </w:r>
      <w:r w:rsidR="00746762">
        <w:rPr>
          <w:lang w:val="ro-RO"/>
        </w:rPr>
        <w:t>,</w:t>
      </w:r>
      <w:r w:rsidR="0058711A">
        <w:rPr>
          <w:lang w:val="ro-RO"/>
        </w:rPr>
        <w:t xml:space="preserve"> </w:t>
      </w:r>
      <w:r w:rsidR="00746762">
        <w:rPr>
          <w:lang w:val="ro-RO"/>
        </w:rPr>
        <w:t>n</w:t>
      </w:r>
      <w:r w:rsidR="0058711A">
        <w:rPr>
          <w:lang w:val="ro-RO"/>
        </w:rPr>
        <w:t>r. 195/24.04.2012</w:t>
      </w:r>
      <w:r w:rsidR="00746762">
        <w:rPr>
          <w:lang w:val="ro-RO"/>
        </w:rPr>
        <w:t xml:space="preserve"> şi nr. 237/23.04.2013</w:t>
      </w:r>
      <w:r w:rsidRPr="00094C0F">
        <w:rPr>
          <w:lang w:val="ro-RO"/>
        </w:rPr>
        <w:t>.</w:t>
      </w:r>
      <w:r w:rsidR="0058711A">
        <w:rPr>
          <w:lang w:val="ro-RO"/>
        </w:rPr>
        <w:t xml:space="preserve"> </w:t>
      </w:r>
      <w:r w:rsidRPr="00094C0F">
        <w:rPr>
          <w:lang w:val="ro-RO"/>
        </w:rPr>
        <w:t xml:space="preserve">Reprezentanţii Direcţiei de Asistenţă Socială Comunitară au realizat trimestrial activitatea de monitorizare a serviciului susţinut financiar, ca urmare a obligaţiilor părţilor stabilite în convenţia de parteneriat, anexă la hotărârea amintită.  Din analiza activităţilor desfăşurate în cadrul Serviciului de îngrijire la domiciliu s-a constatat că acest serviciu:  funcţionează cu respectarea standardelor generale de calitate în domeniul furnizării de servicii sociale; oferă servicii adaptate nevoilor persoanelor vârstnice; este vizibil în comunitatea locală; dispune de personal specializat capabil să răspundă  problemelor beneficiarilor; asigură accesul egal al persoanelor vârstnice  la serviciile sociale furnizate. </w:t>
      </w:r>
    </w:p>
    <w:p w:rsidR="0058711A" w:rsidRDefault="0058711A" w:rsidP="00547C15">
      <w:pPr>
        <w:jc w:val="both"/>
        <w:rPr>
          <w:lang w:val="ro-RO"/>
        </w:rPr>
      </w:pPr>
    </w:p>
    <w:p w:rsidR="00547C15" w:rsidRPr="00094C0F" w:rsidRDefault="00547C15" w:rsidP="00547C15">
      <w:pPr>
        <w:jc w:val="both"/>
        <w:rPr>
          <w:lang w:val="ro-RO"/>
        </w:rPr>
      </w:pPr>
      <w:r w:rsidRPr="00094C0F">
        <w:rPr>
          <w:lang w:val="ro-RO"/>
        </w:rPr>
        <w:t xml:space="preserve">Serviciul de îngrijire la domiciliu este destinat persoanelor vârstnice, cu domiciliul în Municipiul Timişoara, care nu locuiesc cu aparţinătorii sau aparţinătorii nu sunt </w:t>
      </w:r>
      <w:r w:rsidR="0058711A">
        <w:rPr>
          <w:lang w:val="ro-RO"/>
        </w:rPr>
        <w:t xml:space="preserve">capabili să </w:t>
      </w:r>
      <w:r w:rsidRPr="00094C0F">
        <w:rPr>
          <w:lang w:val="ro-RO"/>
        </w:rPr>
        <w:t>sprijin</w:t>
      </w:r>
      <w:r w:rsidR="0058711A">
        <w:rPr>
          <w:lang w:val="ro-RO"/>
        </w:rPr>
        <w:t>e persoana vârstnică în activităţile de zi cu zi</w:t>
      </w:r>
      <w:r w:rsidRPr="00094C0F">
        <w:rPr>
          <w:lang w:val="ro-RO"/>
        </w:rPr>
        <w:t>. La domiciliul beneficiarilor sunt acordate  servicii  de bază (ajutor pentru igiena corporală, hrănire, îmbrăcare, deplasare în interior, comunicare, etc.), servicii de suport  (ajutor pentru prepararea hranei sau livrarea acesteia, realizarea de cumpărături, activităţi de menaj, însoţirea în mijloacele de transport, companie, etc.) precum şi servicii de asistenţă medicală primară, prin aportul personalului medical voluntar.</w:t>
      </w:r>
    </w:p>
    <w:p w:rsidR="00956145" w:rsidRPr="00D63EE3" w:rsidRDefault="00956145" w:rsidP="00956145">
      <w:pPr>
        <w:jc w:val="both"/>
        <w:rPr>
          <w:lang w:val="ro-RO"/>
        </w:rPr>
      </w:pPr>
    </w:p>
    <w:p w:rsidR="00547C15" w:rsidRPr="00094C0F" w:rsidRDefault="00547C15" w:rsidP="00547C15">
      <w:pPr>
        <w:jc w:val="both"/>
        <w:rPr>
          <w:lang w:val="ro-RO"/>
        </w:rPr>
      </w:pPr>
      <w:r w:rsidRPr="00094C0F">
        <w:rPr>
          <w:lang w:val="ro-RO"/>
        </w:rPr>
        <w:t xml:space="preserve">Menţionăm că în luna aprilie a anului 2011, Serviciul de Ajutor Maltez Timişoara a constituit subiectul unui audit desfăşurat de către Serviciul de Audit Public Intern din cadrul Primăriei Municipiului Timişoara. Auditul s-a referit la organizarea activităţii de contabilitate, iar rezultatele, cuprinse în raportul de audit nr. SC2011/145/15.04.2011, au demonstrat că această activitate este bine organizată neexistând constatări negative. </w:t>
      </w:r>
    </w:p>
    <w:p w:rsidR="004A0998" w:rsidRPr="00D63EE3" w:rsidRDefault="004A0998" w:rsidP="00956145">
      <w:pPr>
        <w:jc w:val="both"/>
        <w:rPr>
          <w:lang w:val="ro-RO"/>
        </w:rPr>
      </w:pPr>
    </w:p>
    <w:p w:rsidR="00547C15" w:rsidRPr="00094C0F" w:rsidRDefault="00547C15" w:rsidP="00547C15">
      <w:pPr>
        <w:jc w:val="both"/>
        <w:rPr>
          <w:lang w:val="ro-RO"/>
        </w:rPr>
      </w:pPr>
      <w:r w:rsidRPr="00094C0F">
        <w:rPr>
          <w:lang w:val="ro-RO"/>
        </w:rPr>
        <w:t>Prin adresa nr. SC201</w:t>
      </w:r>
      <w:r w:rsidR="00746762">
        <w:rPr>
          <w:lang w:val="ro-RO"/>
        </w:rPr>
        <w:t>4</w:t>
      </w:r>
      <w:r w:rsidRPr="00094C0F">
        <w:rPr>
          <w:lang w:val="ro-RO"/>
        </w:rPr>
        <w:t>-</w:t>
      </w:r>
      <w:r>
        <w:rPr>
          <w:lang w:val="ro-RO"/>
        </w:rPr>
        <w:t>00</w:t>
      </w:r>
      <w:r w:rsidR="00746762">
        <w:rPr>
          <w:lang w:val="ro-RO"/>
        </w:rPr>
        <w:t>7365</w:t>
      </w:r>
      <w:r w:rsidRPr="00094C0F">
        <w:rPr>
          <w:lang w:val="ro-RO"/>
        </w:rPr>
        <w:t>/</w:t>
      </w:r>
      <w:r w:rsidR="0058711A">
        <w:rPr>
          <w:lang w:val="ro-RO"/>
        </w:rPr>
        <w:t>2</w:t>
      </w:r>
      <w:r w:rsidR="00746762">
        <w:rPr>
          <w:lang w:val="ro-RO"/>
        </w:rPr>
        <w:t>1</w:t>
      </w:r>
      <w:r w:rsidRPr="00094C0F">
        <w:rPr>
          <w:lang w:val="ro-RO"/>
        </w:rPr>
        <w:t>.0</w:t>
      </w:r>
      <w:r w:rsidR="00746762">
        <w:rPr>
          <w:lang w:val="ro-RO"/>
        </w:rPr>
        <w:t>3</w:t>
      </w:r>
      <w:r w:rsidRPr="00094C0F">
        <w:rPr>
          <w:lang w:val="ro-RO"/>
        </w:rPr>
        <w:t>.201</w:t>
      </w:r>
      <w:r w:rsidR="00746762">
        <w:rPr>
          <w:lang w:val="ro-RO"/>
        </w:rPr>
        <w:t>4</w:t>
      </w:r>
      <w:r w:rsidRPr="00094C0F">
        <w:rPr>
          <w:lang w:val="ro-RO"/>
        </w:rPr>
        <w:t xml:space="preserve">, înregistrată la Primăria Municipiului Timişoara, Serviciul de Ajutor Maltez în România - filiala Timişoara, solicită Consiliului Local aprobarea prelungirii susţinerii financiare a serviciului social de tip îngrijire </w:t>
      </w:r>
      <w:r w:rsidR="006A206A">
        <w:rPr>
          <w:lang w:val="ro-RO"/>
        </w:rPr>
        <w:t>la domiciliu, pentru încă un an prin</w:t>
      </w:r>
      <w:r w:rsidRPr="00094C0F">
        <w:rPr>
          <w:lang w:val="ro-RO"/>
        </w:rPr>
        <w:t xml:space="preserve"> plata salariilor şi a contribuţiilor aferente unui număr de 4 (patru)  persoane angajate, cu normă întreagă,  pe posturi de </w:t>
      </w:r>
      <w:r w:rsidR="006A206A">
        <w:rPr>
          <w:lang w:val="ro-RO"/>
        </w:rPr>
        <w:t>îngrijitoare bătrâni</w:t>
      </w:r>
      <w:r w:rsidR="00995874">
        <w:rPr>
          <w:lang w:val="ro-RO"/>
        </w:rPr>
        <w:t xml:space="preserve">, </w:t>
      </w:r>
      <w:r w:rsidR="00995874" w:rsidRPr="00094C0F">
        <w:rPr>
          <w:lang w:val="ro-RO"/>
        </w:rPr>
        <w:t>conform sistemului de stabilire a salariilor de bază în sectorul bugetar</w:t>
      </w:r>
      <w:r>
        <w:rPr>
          <w:lang w:val="ro-RO"/>
        </w:rPr>
        <w:t>.</w:t>
      </w:r>
      <w:r w:rsidR="0058711A">
        <w:rPr>
          <w:lang w:val="ro-RO"/>
        </w:rPr>
        <w:t xml:space="preserve"> Bugetul </w:t>
      </w:r>
      <w:r w:rsidR="00A103CA">
        <w:rPr>
          <w:lang w:val="ro-RO"/>
        </w:rPr>
        <w:t xml:space="preserve">pentru care se solicită finanţarea este de </w:t>
      </w:r>
      <w:r w:rsidR="006A206A">
        <w:rPr>
          <w:lang w:val="ro-RO"/>
        </w:rPr>
        <w:t xml:space="preserve">61.320 </w:t>
      </w:r>
      <w:r w:rsidR="00A103CA">
        <w:rPr>
          <w:lang w:val="ro-RO"/>
        </w:rPr>
        <w:t>lei.</w:t>
      </w:r>
    </w:p>
    <w:p w:rsidR="0012418C" w:rsidRDefault="0012418C" w:rsidP="000A1886">
      <w:pPr>
        <w:jc w:val="both"/>
        <w:rPr>
          <w:lang w:val="ro-RO"/>
        </w:rPr>
      </w:pPr>
    </w:p>
    <w:p w:rsidR="00547C15" w:rsidRPr="00094C0F" w:rsidRDefault="00547C15" w:rsidP="00547C15">
      <w:pPr>
        <w:jc w:val="both"/>
        <w:rPr>
          <w:lang w:val="ro-RO"/>
        </w:rPr>
      </w:pPr>
      <w:r w:rsidRPr="00094C0F">
        <w:rPr>
          <w:lang w:val="ro-RO"/>
        </w:rPr>
        <w:t>În prezent, Serviciul de Ajutor Maltez în România - filiala Timişoara nu are posibilitatea să  susţină financiar întreaga  activitate de îngrijire la domiciliu</w:t>
      </w:r>
      <w:r w:rsidR="008D48DD">
        <w:rPr>
          <w:lang w:val="ro-RO"/>
        </w:rPr>
        <w:t>,</w:t>
      </w:r>
      <w:r w:rsidRPr="00094C0F">
        <w:rPr>
          <w:lang w:val="ro-RO"/>
        </w:rPr>
        <w:t xml:space="preserve"> însă dispune de resurse financiare proprii pentru asigurarea  cheltuielilor legate de plata salariilor celorlalţi angajaţi implicaţi în furnizarea acestui serviciu (un asistent social, un îngrij</w:t>
      </w:r>
      <w:r w:rsidR="008D48DD">
        <w:rPr>
          <w:lang w:val="ro-RO"/>
        </w:rPr>
        <w:t>itor la domiciliu, un gestionar</w:t>
      </w:r>
      <w:r w:rsidRPr="00094C0F">
        <w:rPr>
          <w:lang w:val="ro-RO"/>
        </w:rPr>
        <w:t xml:space="preserve">), precum şi a cheltuielilor legate de achiziţionarea produselor igienico-sanitare, obiectelor de uz casnic, </w:t>
      </w:r>
      <w:r w:rsidR="00995874">
        <w:rPr>
          <w:lang w:val="ro-RO"/>
        </w:rPr>
        <w:t xml:space="preserve">cadre de mers, cărucioare </w:t>
      </w:r>
      <w:r w:rsidRPr="00094C0F">
        <w:rPr>
          <w:lang w:val="ro-RO"/>
        </w:rPr>
        <w:t>sau alte produse în funcţie de nevoile persoanelor vârstnice.</w:t>
      </w:r>
    </w:p>
    <w:p w:rsidR="00933FB6" w:rsidRDefault="00933FB6" w:rsidP="00E73BC6">
      <w:pPr>
        <w:jc w:val="both"/>
        <w:rPr>
          <w:lang w:val="ro-RO"/>
        </w:rPr>
      </w:pPr>
    </w:p>
    <w:p w:rsidR="00995874" w:rsidRPr="00406248" w:rsidRDefault="008D48DD" w:rsidP="00406248">
      <w:pPr>
        <w:pStyle w:val="Default"/>
        <w:jc w:val="both"/>
        <w:rPr>
          <w:lang w:val="ro-RO"/>
        </w:rPr>
      </w:pPr>
      <w:r>
        <w:rPr>
          <w:lang w:val="ro-RO"/>
        </w:rPr>
        <w:t>Serviciul social propus pentru finanţare este</w:t>
      </w:r>
      <w:r w:rsidRPr="002E05ED">
        <w:rPr>
          <w:lang w:val="ro-RO"/>
        </w:rPr>
        <w:t xml:space="preserve"> necesar la nivelul comunităţii noastre, iar susţinerea l</w:t>
      </w:r>
      <w:r>
        <w:rPr>
          <w:lang w:val="ro-RO"/>
        </w:rPr>
        <w:t>ui</w:t>
      </w:r>
      <w:r w:rsidRPr="002E05ED">
        <w:rPr>
          <w:lang w:val="ro-RO"/>
        </w:rPr>
        <w:t xml:space="preserve"> este în acord cu legislaţia în domeniu</w:t>
      </w:r>
      <w:r w:rsidR="003B05C8">
        <w:rPr>
          <w:lang w:val="ro-RO"/>
        </w:rPr>
        <w:t>l</w:t>
      </w:r>
      <w:r w:rsidRPr="002E05ED">
        <w:rPr>
          <w:lang w:val="ro-RO"/>
        </w:rPr>
        <w:t xml:space="preserve"> asistenţei sociale. Prin acordarea </w:t>
      </w:r>
      <w:r>
        <w:rPr>
          <w:lang w:val="ro-RO"/>
        </w:rPr>
        <w:t xml:space="preserve">acestui tip de serviciu </w:t>
      </w:r>
      <w:r w:rsidRPr="002E05ED">
        <w:rPr>
          <w:lang w:val="ro-RO"/>
        </w:rPr>
        <w:t xml:space="preserve">se previne instituţionalizarea </w:t>
      </w:r>
      <w:r>
        <w:rPr>
          <w:lang w:val="ro-RO"/>
        </w:rPr>
        <w:t>persoanelor vârstnice, care</w:t>
      </w:r>
      <w:r w:rsidRPr="002E05ED">
        <w:rPr>
          <w:lang w:val="ro-RO"/>
        </w:rPr>
        <w:t xml:space="preserve"> sunt sprijinite pentru a rămâne cât mai mult în mediul lor de viaţă</w:t>
      </w:r>
      <w:r>
        <w:rPr>
          <w:lang w:val="ro-RO"/>
        </w:rPr>
        <w:t>, astfel</w:t>
      </w:r>
      <w:r w:rsidRPr="002E05ED">
        <w:rPr>
          <w:lang w:val="ro-RO"/>
        </w:rPr>
        <w:t xml:space="preserve"> prevenindu-se dependenţa lor totală de alte servicii sociale mai costisitoare. </w:t>
      </w:r>
      <w:r w:rsidR="00406248" w:rsidRPr="00406248">
        <w:rPr>
          <w:lang w:val="ro-RO"/>
        </w:rPr>
        <w:t>La art</w:t>
      </w:r>
      <w:r w:rsidR="008F6A63" w:rsidRPr="00406248">
        <w:rPr>
          <w:lang w:val="ro-RO"/>
        </w:rPr>
        <w:t xml:space="preserve">. 96 </w:t>
      </w:r>
      <w:r w:rsidR="00406248" w:rsidRPr="00406248">
        <w:rPr>
          <w:lang w:val="ro-RO"/>
        </w:rPr>
        <w:t xml:space="preserve">alin. </w:t>
      </w:r>
      <w:r w:rsidR="008F6A63" w:rsidRPr="00406248">
        <w:rPr>
          <w:lang w:val="ro-RO"/>
        </w:rPr>
        <w:t xml:space="preserve">(1) </w:t>
      </w:r>
      <w:r w:rsidR="00406248" w:rsidRPr="00406248">
        <w:rPr>
          <w:lang w:val="ro-RO"/>
        </w:rPr>
        <w:t>“</w:t>
      </w:r>
      <w:r w:rsidR="008F6A63" w:rsidRPr="00406248">
        <w:rPr>
          <w:lang w:val="ro-RO"/>
        </w:rPr>
        <w:t>Pentru a identifica şi a răspunde cât mai adecvat nevoilor sociale ale persoanelor vârstnice şi condiţiilor particulare în care aceştia se află, serviciile sociale se organizează cu prioritate la nivelul comunităţ</w:t>
      </w:r>
      <w:r w:rsidR="00406248">
        <w:rPr>
          <w:lang w:val="ro-RO"/>
        </w:rPr>
        <w:t xml:space="preserve">ilor locale” şi la alin. </w:t>
      </w:r>
      <w:r w:rsidR="008F6A63" w:rsidRPr="00406248">
        <w:rPr>
          <w:lang w:val="ro-RO"/>
        </w:rPr>
        <w:t xml:space="preserve">(2) </w:t>
      </w:r>
      <w:r w:rsidR="00406248">
        <w:rPr>
          <w:lang w:val="ro-RO"/>
        </w:rPr>
        <w:t>„</w:t>
      </w:r>
      <w:r w:rsidR="008F6A63" w:rsidRPr="00406248">
        <w:rPr>
          <w:lang w:val="ro-RO"/>
        </w:rPr>
        <w:t>Autorităţile administraţiei publice locale au responsabilitatea identificării şi evaluării nevoilor persoanelor vârstnice, a organizării, planificării şi asigurării finanţării sau cofinanţării serviciilor sociale, iar furnizorii de servicii sociale publici şi privaţi au responsabilitatea acordării acestora cu respectarea standardelor de calitate</w:t>
      </w:r>
      <w:r w:rsidR="00406248">
        <w:rPr>
          <w:lang w:val="ro-RO"/>
        </w:rPr>
        <w:t>”</w:t>
      </w:r>
      <w:r w:rsidR="008F6A63" w:rsidRPr="00406248">
        <w:rPr>
          <w:lang w:val="ro-RO"/>
        </w:rPr>
        <w:t>.</w:t>
      </w:r>
    </w:p>
    <w:p w:rsidR="008D48DD" w:rsidRDefault="008D48DD" w:rsidP="00E73BC6">
      <w:pPr>
        <w:jc w:val="both"/>
        <w:rPr>
          <w:lang w:val="ro-RO"/>
        </w:rPr>
      </w:pPr>
    </w:p>
    <w:p w:rsidR="00E73BC6" w:rsidRPr="00D63EE3" w:rsidRDefault="000477DF" w:rsidP="00E73BC6">
      <w:pPr>
        <w:jc w:val="both"/>
        <w:rPr>
          <w:lang w:val="ro-RO"/>
        </w:rPr>
      </w:pPr>
      <w:r w:rsidRPr="00D63EE3">
        <w:rPr>
          <w:lang w:val="ro-RO"/>
        </w:rPr>
        <w:t xml:space="preserve">Luând în considerare cele menţionate, în </w:t>
      </w:r>
      <w:r w:rsidR="00547562" w:rsidRPr="00D63EE3">
        <w:rPr>
          <w:lang w:val="ro-RO"/>
        </w:rPr>
        <w:t xml:space="preserve">baza dispoziţiilor </w:t>
      </w:r>
      <w:r w:rsidR="008D48DD" w:rsidRPr="00A10F59">
        <w:rPr>
          <w:lang w:val="ro-RO"/>
        </w:rPr>
        <w:t>art. 136, alin (1), lit. a) din Legea 292/2011 a asistenţei sociale, şi în conformitate cu prevederile art.36 alin (2), lit.(d şi  lit.(e, alin. (6) lit. (a pct.2 şi alin (7), lit. (a</w:t>
      </w:r>
      <w:r w:rsidR="00617B0D">
        <w:rPr>
          <w:lang w:val="ro-RO"/>
        </w:rPr>
        <w:t>)</w:t>
      </w:r>
      <w:r w:rsidR="008D48DD" w:rsidRPr="00A10F59">
        <w:rPr>
          <w:lang w:val="ro-RO"/>
        </w:rPr>
        <w:t xml:space="preserve"> din Legea  nr. 215/2001 privind administraţia publică locală, republicată,  </w:t>
      </w:r>
    </w:p>
    <w:p w:rsidR="00E73BC6" w:rsidRPr="00D63EE3" w:rsidRDefault="00E73BC6" w:rsidP="00E73BC6">
      <w:pPr>
        <w:jc w:val="both"/>
        <w:rPr>
          <w:lang w:val="ro-RO"/>
        </w:rPr>
      </w:pPr>
    </w:p>
    <w:p w:rsidR="00E73BC6" w:rsidRPr="00515E9E" w:rsidRDefault="00E73BC6" w:rsidP="00515E9E">
      <w:pPr>
        <w:jc w:val="center"/>
        <w:rPr>
          <w:caps/>
          <w:lang w:val="ro-RO"/>
        </w:rPr>
      </w:pPr>
      <w:r w:rsidRPr="00D63EE3">
        <w:rPr>
          <w:caps/>
          <w:lang w:val="ro-RO"/>
        </w:rPr>
        <w:t>propunem:</w:t>
      </w:r>
    </w:p>
    <w:p w:rsidR="00CA5753" w:rsidRDefault="00CA5753" w:rsidP="00CA5753">
      <w:pPr>
        <w:jc w:val="both"/>
        <w:rPr>
          <w:lang w:val="ro-RO"/>
        </w:rPr>
      </w:pPr>
    </w:p>
    <w:p w:rsidR="00CA5753" w:rsidRDefault="00CA5753" w:rsidP="00CA5753">
      <w:pPr>
        <w:jc w:val="both"/>
        <w:rPr>
          <w:lang w:val="ro-RO"/>
        </w:rPr>
      </w:pPr>
      <w:r>
        <w:rPr>
          <w:lang w:val="ro-RO"/>
        </w:rPr>
        <w:t>Aprobarea încheierii</w:t>
      </w:r>
      <w:r w:rsidRPr="00EC1FD1">
        <w:rPr>
          <w:lang w:val="ro-RO"/>
        </w:rPr>
        <w:t xml:space="preserve"> actului adiţional de</w:t>
      </w:r>
      <w:r>
        <w:rPr>
          <w:lang w:val="ro-RO"/>
        </w:rPr>
        <w:t xml:space="preserve"> </w:t>
      </w:r>
      <w:r w:rsidRPr="0032764A">
        <w:rPr>
          <w:lang w:val="ro-RO"/>
        </w:rPr>
        <w:t xml:space="preserve">prelungire </w:t>
      </w:r>
      <w:r>
        <w:rPr>
          <w:lang w:val="ro-RO"/>
        </w:rPr>
        <w:t xml:space="preserve"> cu un an</w:t>
      </w:r>
      <w:r w:rsidR="00EF1D6A">
        <w:rPr>
          <w:lang w:val="ro-RO"/>
        </w:rPr>
        <w:t>, până la data de 26.05.2015</w:t>
      </w:r>
      <w:r>
        <w:rPr>
          <w:lang w:val="ro-RO"/>
        </w:rPr>
        <w:t xml:space="preserve"> </w:t>
      </w:r>
      <w:r w:rsidRPr="0032764A">
        <w:rPr>
          <w:lang w:val="ro-RO"/>
        </w:rPr>
        <w:t xml:space="preserve"> a Convenţiei</w:t>
      </w:r>
      <w:r>
        <w:rPr>
          <w:lang w:val="ro-RO"/>
        </w:rPr>
        <w:t xml:space="preserve"> </w:t>
      </w:r>
      <w:r w:rsidRPr="0032764A">
        <w:rPr>
          <w:lang w:val="ro-RO"/>
        </w:rPr>
        <w:t xml:space="preserve">- anexa la </w:t>
      </w:r>
      <w:r w:rsidRPr="002645B4">
        <w:rPr>
          <w:lang w:val="ro-RO"/>
        </w:rPr>
        <w:t xml:space="preserve">Hotărârea Consiliului Local al Municipiului Timişoara nr. </w:t>
      </w:r>
      <w:r w:rsidR="006653CE">
        <w:rPr>
          <w:lang w:val="ro-RO"/>
        </w:rPr>
        <w:t>217/26.05.2009</w:t>
      </w:r>
      <w:r w:rsidRPr="002645B4">
        <w:rPr>
          <w:lang w:val="ro-RO"/>
        </w:rPr>
        <w:t xml:space="preserve">  încheiată între Consiliul Local al Municipiului</w:t>
      </w:r>
      <w:r w:rsidRPr="0032764A">
        <w:rPr>
          <w:lang w:val="ro-RO"/>
        </w:rPr>
        <w:t xml:space="preserve"> Timişoara şi </w:t>
      </w:r>
      <w:r>
        <w:rPr>
          <w:lang w:val="ro-RO"/>
        </w:rPr>
        <w:t>Seriviciul de Ajutor Maltez în România, pentru susţinerea unor servicii sociale la nivelul Municipiului Timişoara, conform anexei.</w:t>
      </w:r>
    </w:p>
    <w:p w:rsidR="00480ED5" w:rsidRPr="00A10F59" w:rsidRDefault="00480ED5" w:rsidP="00480ED5">
      <w:pPr>
        <w:jc w:val="center"/>
        <w:rPr>
          <w:lang w:val="ro-RO"/>
        </w:rPr>
      </w:pPr>
    </w:p>
    <w:p w:rsidR="00C232F7" w:rsidRPr="004D231D" w:rsidRDefault="00C232F7" w:rsidP="00EF1D6A">
      <w:pPr>
        <w:rPr>
          <w:b/>
          <w:lang w:val="ro-RO"/>
        </w:rPr>
      </w:pPr>
      <w:r w:rsidRPr="004D231D">
        <w:rPr>
          <w:b/>
          <w:lang w:val="ro-RO"/>
        </w:rPr>
        <w:t>VICEPRIMAR</w:t>
      </w:r>
      <w:r w:rsidR="00EF1D6A">
        <w:rPr>
          <w:b/>
          <w:lang w:val="ro-RO"/>
        </w:rPr>
        <w:tab/>
      </w:r>
      <w:r w:rsidR="00EF1D6A">
        <w:rPr>
          <w:b/>
          <w:lang w:val="ro-RO"/>
        </w:rPr>
        <w:tab/>
      </w:r>
      <w:r w:rsidR="00EF1D6A">
        <w:rPr>
          <w:b/>
          <w:lang w:val="ro-RO"/>
        </w:rPr>
        <w:tab/>
      </w:r>
      <w:r w:rsidR="00EF1D6A">
        <w:rPr>
          <w:b/>
          <w:lang w:val="ro-RO"/>
        </w:rPr>
        <w:tab/>
      </w:r>
      <w:r w:rsidR="00EF1D6A">
        <w:rPr>
          <w:b/>
          <w:lang w:val="ro-RO"/>
        </w:rPr>
        <w:tab/>
      </w:r>
      <w:r w:rsidR="00EF1D6A">
        <w:rPr>
          <w:b/>
          <w:lang w:val="ro-RO"/>
        </w:rPr>
        <w:tab/>
      </w:r>
      <w:r w:rsidR="00EF1D6A">
        <w:rPr>
          <w:b/>
          <w:lang w:val="ro-RO"/>
        </w:rPr>
        <w:tab/>
      </w:r>
      <w:r w:rsidR="00EF1D6A">
        <w:rPr>
          <w:b/>
          <w:lang w:val="ro-RO"/>
        </w:rPr>
        <w:tab/>
        <w:t>SECRETAR,</w:t>
      </w:r>
    </w:p>
    <w:p w:rsidR="00C232F7" w:rsidRPr="004D231D" w:rsidRDefault="00C232F7" w:rsidP="00EF1D6A">
      <w:pPr>
        <w:rPr>
          <w:b/>
          <w:sz w:val="22"/>
          <w:szCs w:val="22"/>
          <w:lang w:val="ro-RO"/>
        </w:rPr>
      </w:pPr>
      <w:r>
        <w:rPr>
          <w:b/>
          <w:lang w:val="ro-RO"/>
        </w:rPr>
        <w:t>Traian Stoia</w:t>
      </w:r>
      <w:r w:rsidR="00EF1D6A">
        <w:rPr>
          <w:b/>
          <w:lang w:val="ro-RO"/>
        </w:rPr>
        <w:tab/>
      </w:r>
      <w:r w:rsidR="00EF1D6A">
        <w:rPr>
          <w:b/>
          <w:lang w:val="ro-RO"/>
        </w:rPr>
        <w:tab/>
      </w:r>
      <w:r w:rsidR="00EF1D6A">
        <w:rPr>
          <w:b/>
          <w:lang w:val="ro-RO"/>
        </w:rPr>
        <w:tab/>
      </w:r>
      <w:r w:rsidR="00EF1D6A">
        <w:rPr>
          <w:b/>
          <w:lang w:val="ro-RO"/>
        </w:rPr>
        <w:tab/>
      </w:r>
      <w:r w:rsidR="00EF1D6A">
        <w:rPr>
          <w:b/>
          <w:lang w:val="ro-RO"/>
        </w:rPr>
        <w:tab/>
      </w:r>
      <w:r w:rsidR="00EF1D6A">
        <w:rPr>
          <w:b/>
          <w:lang w:val="ro-RO"/>
        </w:rPr>
        <w:tab/>
      </w:r>
      <w:r w:rsidR="00EF1D6A">
        <w:rPr>
          <w:b/>
          <w:lang w:val="ro-RO"/>
        </w:rPr>
        <w:tab/>
      </w:r>
      <w:r w:rsidR="00EF1D6A">
        <w:rPr>
          <w:b/>
          <w:lang w:val="ro-RO"/>
        </w:rPr>
        <w:tab/>
      </w:r>
      <w:r w:rsidR="00EF1D6A">
        <w:rPr>
          <w:b/>
          <w:lang w:val="ro-RO"/>
        </w:rPr>
        <w:tab/>
        <w:t>Ioan Cojocari</w:t>
      </w:r>
    </w:p>
    <w:p w:rsidR="00C232F7" w:rsidRPr="004D231D" w:rsidRDefault="00C232F7" w:rsidP="00C232F7">
      <w:pPr>
        <w:rPr>
          <w:sz w:val="22"/>
          <w:szCs w:val="22"/>
          <w:lang w:val="ro-RO"/>
        </w:rPr>
      </w:pPr>
    </w:p>
    <w:p w:rsidR="00C232F7" w:rsidRDefault="00C232F7" w:rsidP="00C232F7">
      <w:pPr>
        <w:rPr>
          <w:lang w:val="ro-RO"/>
        </w:rPr>
      </w:pPr>
    </w:p>
    <w:p w:rsidR="00C232F7" w:rsidRPr="0057170C" w:rsidRDefault="00C232F7" w:rsidP="00C232F7">
      <w:pPr>
        <w:rPr>
          <w:lang w:val="ro-RO"/>
        </w:rPr>
      </w:pPr>
    </w:p>
    <w:p w:rsidR="00C232F7" w:rsidRDefault="00C232F7" w:rsidP="00C232F7">
      <w:pPr>
        <w:rPr>
          <w:b/>
          <w:lang w:val="ro-RO"/>
        </w:rPr>
      </w:pPr>
      <w:r>
        <w:rPr>
          <w:b/>
          <w:lang w:val="ro-RO"/>
        </w:rPr>
        <w:tab/>
      </w:r>
      <w:r>
        <w:rPr>
          <w:b/>
          <w:lang w:val="ro-RO"/>
        </w:rPr>
        <w:tab/>
      </w:r>
      <w:r>
        <w:rPr>
          <w:b/>
          <w:lang w:val="ro-RO"/>
        </w:rPr>
        <w:tab/>
      </w:r>
      <w:r>
        <w:rPr>
          <w:b/>
          <w:lang w:val="ro-RO"/>
        </w:rPr>
        <w:tab/>
      </w:r>
    </w:p>
    <w:p w:rsidR="00C232F7" w:rsidRDefault="00C232F7" w:rsidP="00C232F7">
      <w:pPr>
        <w:jc w:val="both"/>
        <w:rPr>
          <w:b/>
          <w:lang w:val="ro-RO"/>
        </w:rPr>
      </w:pPr>
      <w:r>
        <w:rPr>
          <w:b/>
          <w:lang w:val="ro-RO"/>
        </w:rPr>
        <w:t>Director executiv</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r w:rsidR="00FC19D5">
        <w:rPr>
          <w:b/>
          <w:lang w:val="ro-RO"/>
        </w:rPr>
        <w:tab/>
      </w:r>
      <w:r>
        <w:rPr>
          <w:b/>
          <w:lang w:val="ro-RO"/>
        </w:rPr>
        <w:t xml:space="preserve"> </w:t>
      </w:r>
      <w:r w:rsidR="00FC19D5">
        <w:rPr>
          <w:b/>
          <w:lang w:val="ro-RO"/>
        </w:rPr>
        <w:t xml:space="preserve">  </w:t>
      </w:r>
      <w:r>
        <w:rPr>
          <w:b/>
          <w:lang w:val="ro-RO"/>
        </w:rPr>
        <w:t>Director executiv</w:t>
      </w:r>
    </w:p>
    <w:p w:rsidR="00C232F7" w:rsidRDefault="00C232F7" w:rsidP="00C232F7">
      <w:pPr>
        <w:jc w:val="both"/>
        <w:rPr>
          <w:b/>
          <w:lang w:val="ro-RO"/>
        </w:rPr>
      </w:pPr>
      <w:r>
        <w:rPr>
          <w:b/>
          <w:lang w:val="ro-RO"/>
        </w:rPr>
        <w:t xml:space="preserve">Maria Stoianov                                                                               </w:t>
      </w:r>
      <w:r w:rsidR="00FC19D5">
        <w:rPr>
          <w:b/>
          <w:lang w:val="ro-RO"/>
        </w:rPr>
        <w:tab/>
      </w:r>
      <w:r w:rsidR="00FC19D5">
        <w:rPr>
          <w:b/>
          <w:lang w:val="ro-RO"/>
        </w:rPr>
        <w:tab/>
      </w:r>
      <w:r>
        <w:rPr>
          <w:b/>
          <w:lang w:val="ro-RO"/>
        </w:rPr>
        <w:t xml:space="preserve"> Smaranda Haracicu</w:t>
      </w:r>
    </w:p>
    <w:p w:rsidR="0006175F" w:rsidRDefault="0006175F" w:rsidP="0006175F">
      <w:pPr>
        <w:rPr>
          <w:b/>
          <w:lang w:val="ro-RO"/>
        </w:rPr>
      </w:pPr>
    </w:p>
    <w:p w:rsidR="0006175F" w:rsidRDefault="0006175F" w:rsidP="0006175F">
      <w:pPr>
        <w:rPr>
          <w:b/>
          <w:lang w:val="ro-RO"/>
        </w:rPr>
      </w:pPr>
    </w:p>
    <w:p w:rsidR="0006175F" w:rsidRDefault="0006175F" w:rsidP="0006175F">
      <w:pPr>
        <w:rPr>
          <w:b/>
          <w:lang w:val="ro-RO"/>
        </w:rPr>
      </w:pPr>
    </w:p>
    <w:p w:rsidR="0006175F" w:rsidRDefault="00D8102E" w:rsidP="0006175F">
      <w:pPr>
        <w:rPr>
          <w:b/>
          <w:lang w:val="ro-RO"/>
        </w:rPr>
      </w:pPr>
      <w:r>
        <w:rPr>
          <w:b/>
          <w:lang w:val="ro-RO"/>
        </w:rPr>
        <w:t xml:space="preserve"> </w:t>
      </w:r>
      <w:r w:rsidR="0006175F">
        <w:rPr>
          <w:b/>
          <w:lang w:val="ro-RO"/>
        </w:rPr>
        <w:t>Consilier Juridic</w:t>
      </w:r>
      <w:r w:rsidR="008324DB">
        <w:rPr>
          <w:b/>
          <w:lang w:val="ro-RO"/>
        </w:rPr>
        <w:tab/>
        <w:t xml:space="preserve">           </w:t>
      </w:r>
      <w:r w:rsidR="0006175F">
        <w:rPr>
          <w:b/>
          <w:lang w:val="ro-RO"/>
        </w:rPr>
        <w:tab/>
      </w:r>
      <w:r w:rsidR="0006175F">
        <w:rPr>
          <w:b/>
          <w:lang w:val="ro-RO"/>
        </w:rPr>
        <w:tab/>
      </w:r>
      <w:r w:rsidR="0006175F">
        <w:rPr>
          <w:b/>
          <w:lang w:val="ro-RO"/>
        </w:rPr>
        <w:tab/>
      </w:r>
      <w:r w:rsidR="0006175F">
        <w:rPr>
          <w:b/>
          <w:lang w:val="ro-RO"/>
        </w:rPr>
        <w:tab/>
      </w:r>
      <w:r w:rsidR="0006175F">
        <w:rPr>
          <w:b/>
          <w:lang w:val="ro-RO"/>
        </w:rPr>
        <w:tab/>
      </w:r>
      <w:r w:rsidR="0006175F">
        <w:rPr>
          <w:b/>
          <w:lang w:val="ro-RO"/>
        </w:rPr>
        <w:tab/>
      </w:r>
      <w:r w:rsidR="0006175F">
        <w:rPr>
          <w:b/>
          <w:lang w:val="ro-RO"/>
        </w:rPr>
        <w:tab/>
      </w:r>
      <w:r w:rsidR="0006175F">
        <w:rPr>
          <w:b/>
          <w:lang w:val="ro-RO"/>
        </w:rPr>
        <w:tab/>
      </w:r>
      <w:r w:rsidR="0006175F" w:rsidRPr="00F9711E">
        <w:rPr>
          <w:b/>
          <w:color w:val="FF0000"/>
          <w:lang w:val="ro-RO"/>
        </w:rPr>
        <w:t xml:space="preserve">                 </w:t>
      </w:r>
      <w:r w:rsidR="0006175F" w:rsidRPr="00F9711E">
        <w:rPr>
          <w:b/>
          <w:color w:val="FF0000"/>
          <w:lang w:val="ro-RO"/>
        </w:rPr>
        <w:tab/>
      </w:r>
      <w:r w:rsidR="0006175F">
        <w:rPr>
          <w:b/>
          <w:lang w:val="ro-RO"/>
        </w:rPr>
        <w:tab/>
      </w:r>
      <w:r w:rsidR="0006175F">
        <w:rPr>
          <w:b/>
          <w:lang w:val="ro-RO"/>
        </w:rPr>
        <w:tab/>
      </w:r>
    </w:p>
    <w:p w:rsidR="008324DB" w:rsidRDefault="0006175F" w:rsidP="008324DB">
      <w:pPr>
        <w:rPr>
          <w:b/>
          <w:lang w:val="ro-RO"/>
        </w:rPr>
      </w:pPr>
      <w:r>
        <w:rPr>
          <w:b/>
          <w:lang w:val="ro-RO"/>
        </w:rPr>
        <w:t>Marilena-Loredana Muntiu</w:t>
      </w:r>
      <w:r>
        <w:rPr>
          <w:b/>
          <w:lang w:val="ro-RO"/>
        </w:rPr>
        <w:tab/>
      </w:r>
      <w:r>
        <w:rPr>
          <w:b/>
          <w:lang w:val="ro-RO"/>
        </w:rPr>
        <w:tab/>
      </w:r>
      <w:r w:rsidR="008324DB">
        <w:rPr>
          <w:b/>
          <w:lang w:val="ro-RO"/>
        </w:rPr>
        <w:tab/>
      </w:r>
      <w:r w:rsidR="008324DB">
        <w:rPr>
          <w:b/>
          <w:lang w:val="ro-RO"/>
        </w:rPr>
        <w:tab/>
      </w:r>
      <w:r w:rsidR="008324DB">
        <w:rPr>
          <w:b/>
          <w:lang w:val="ro-RO"/>
        </w:rPr>
        <w:tab/>
      </w:r>
      <w:r w:rsidR="008324DB">
        <w:rPr>
          <w:b/>
          <w:lang w:val="ro-RO"/>
        </w:rPr>
        <w:tab/>
      </w:r>
      <w:r w:rsidR="008324DB">
        <w:rPr>
          <w:b/>
          <w:lang w:val="ro-RO"/>
        </w:rPr>
        <w:tab/>
        <w:t>Serviciul Juridic al PMT</w:t>
      </w:r>
    </w:p>
    <w:p w:rsidR="0006175F" w:rsidRDefault="0006175F" w:rsidP="0006175F">
      <w:pPr>
        <w:rPr>
          <w:b/>
          <w:lang w:val="ro-RO"/>
        </w:rPr>
      </w:pPr>
      <w:r>
        <w:rPr>
          <w:b/>
          <w:lang w:val="ro-RO"/>
        </w:rPr>
        <w:tab/>
      </w:r>
      <w:r>
        <w:rPr>
          <w:b/>
          <w:lang w:val="ro-RO"/>
        </w:rPr>
        <w:tab/>
      </w:r>
      <w:r>
        <w:rPr>
          <w:b/>
          <w:lang w:val="ro-RO"/>
        </w:rPr>
        <w:tab/>
      </w:r>
      <w:r>
        <w:rPr>
          <w:b/>
          <w:lang w:val="ro-RO"/>
        </w:rPr>
        <w:tab/>
      </w:r>
      <w:r w:rsidRPr="00F9711E">
        <w:rPr>
          <w:b/>
          <w:color w:val="FF0000"/>
          <w:lang w:val="ro-RO"/>
        </w:rPr>
        <w:t xml:space="preserve">                        </w:t>
      </w:r>
    </w:p>
    <w:p w:rsidR="0006175F" w:rsidRDefault="0006175F" w:rsidP="0006175F">
      <w:pPr>
        <w:rPr>
          <w:b/>
          <w:lang w:val="ro-RO"/>
        </w:rPr>
      </w:pPr>
      <w:r>
        <w:rPr>
          <w:b/>
          <w:lang w:val="ro-RO"/>
        </w:rPr>
        <w:tab/>
      </w:r>
      <w:r>
        <w:rPr>
          <w:b/>
          <w:lang w:val="ro-RO"/>
        </w:rPr>
        <w:tab/>
      </w:r>
      <w:r>
        <w:rPr>
          <w:b/>
          <w:lang w:val="ro-RO"/>
        </w:rPr>
        <w:tab/>
      </w:r>
      <w:r>
        <w:rPr>
          <w:b/>
          <w:lang w:val="ro-RO"/>
        </w:rPr>
        <w:tab/>
      </w:r>
      <w:r>
        <w:rPr>
          <w:b/>
          <w:lang w:val="ro-RO"/>
        </w:rPr>
        <w:tab/>
      </w:r>
      <w:r>
        <w:rPr>
          <w:b/>
          <w:lang w:val="ro-RO"/>
        </w:rPr>
        <w:tab/>
      </w:r>
    </w:p>
    <w:p w:rsidR="0006175F" w:rsidRDefault="0006175F" w:rsidP="0006175F">
      <w:pPr>
        <w:rPr>
          <w:b/>
          <w:lang w:val="ro-RO"/>
        </w:rPr>
      </w:pPr>
    </w:p>
    <w:p w:rsidR="0006175F" w:rsidRDefault="0006175F" w:rsidP="0006175F">
      <w:pPr>
        <w:rPr>
          <w:b/>
          <w:lang w:val="ro-RO"/>
        </w:rPr>
      </w:pPr>
      <w:r>
        <w:rPr>
          <w:b/>
          <w:lang w:val="ro-RO"/>
        </w:rPr>
        <w:t>Inspector</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00F9711E">
        <w:rPr>
          <w:b/>
          <w:lang w:val="ro-RO"/>
        </w:rPr>
        <w:t xml:space="preserve">              </w:t>
      </w:r>
    </w:p>
    <w:p w:rsidR="0006175F" w:rsidRPr="00BC4FE1" w:rsidRDefault="0006175F" w:rsidP="00BC4FE1">
      <w:pPr>
        <w:rPr>
          <w:b/>
          <w:lang w:val="ro-RO"/>
        </w:rPr>
      </w:pPr>
      <w:r>
        <w:rPr>
          <w:b/>
          <w:lang w:val="ro-RO"/>
        </w:rPr>
        <w:t>AngelaCiupa-Rad</w:t>
      </w:r>
    </w:p>
    <w:p w:rsidR="00480ED5" w:rsidRPr="00A10F59" w:rsidRDefault="00480ED5" w:rsidP="00C232F7">
      <w:pPr>
        <w:jc w:val="both"/>
        <w:rPr>
          <w:b/>
          <w:lang w:val="ro-RO"/>
        </w:rPr>
      </w:pPr>
    </w:p>
    <w:sectPr w:rsidR="00480ED5" w:rsidRPr="00A10F59" w:rsidSect="009C76CE">
      <w:footerReference w:type="default" r:id="rId8"/>
      <w:pgSz w:w="12240" w:h="15840"/>
      <w:pgMar w:top="720" w:right="720" w:bottom="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8C4" w:rsidRDefault="001238C4" w:rsidP="002F2E9D">
      <w:r>
        <w:separator/>
      </w:r>
    </w:p>
  </w:endnote>
  <w:endnote w:type="continuationSeparator" w:id="0">
    <w:p w:rsidR="001238C4" w:rsidRDefault="001238C4" w:rsidP="002F2E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62" w:rsidRDefault="00F03A62">
    <w:pPr>
      <w:pStyle w:val="Footer"/>
    </w:pPr>
  </w:p>
  <w:p w:rsidR="00BA3693" w:rsidRDefault="00BA3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8C4" w:rsidRDefault="001238C4" w:rsidP="002F2E9D">
      <w:r>
        <w:separator/>
      </w:r>
    </w:p>
  </w:footnote>
  <w:footnote w:type="continuationSeparator" w:id="0">
    <w:p w:rsidR="001238C4" w:rsidRDefault="001238C4" w:rsidP="002F2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81C"/>
    <w:multiLevelType w:val="hybridMultilevel"/>
    <w:tmpl w:val="DF545B7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3A72ADF"/>
    <w:multiLevelType w:val="hybridMultilevel"/>
    <w:tmpl w:val="6A06038A"/>
    <w:lvl w:ilvl="0" w:tplc="98847AB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87B5AA4"/>
    <w:multiLevelType w:val="hybridMultilevel"/>
    <w:tmpl w:val="FA14983C"/>
    <w:lvl w:ilvl="0" w:tplc="F208DFF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0F2766"/>
    <w:multiLevelType w:val="hybridMultilevel"/>
    <w:tmpl w:val="65A4CD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29E32214"/>
    <w:multiLevelType w:val="hybridMultilevel"/>
    <w:tmpl w:val="393ABDF2"/>
    <w:lvl w:ilvl="0" w:tplc="EDFC9E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3432E71"/>
    <w:multiLevelType w:val="multilevel"/>
    <w:tmpl w:val="DF545B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744B0E"/>
    <w:multiLevelType w:val="hybridMultilevel"/>
    <w:tmpl w:val="2B48EA74"/>
    <w:lvl w:ilvl="0" w:tplc="175C64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4F5E71"/>
    <w:multiLevelType w:val="multilevel"/>
    <w:tmpl w:val="7F8E13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4D37340"/>
    <w:multiLevelType w:val="hybridMultilevel"/>
    <w:tmpl w:val="7F8E13A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57727BC6"/>
    <w:multiLevelType w:val="hybridMultilevel"/>
    <w:tmpl w:val="7D0EE56E"/>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66E51DA3"/>
    <w:multiLevelType w:val="hybridMultilevel"/>
    <w:tmpl w:val="779C2E3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72A56BE7"/>
    <w:multiLevelType w:val="hybridMultilevel"/>
    <w:tmpl w:val="A94677B6"/>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78971501"/>
    <w:multiLevelType w:val="multilevel"/>
    <w:tmpl w:val="779C2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10"/>
  </w:num>
  <w:num w:numId="7">
    <w:abstractNumId w:val="12"/>
  </w:num>
  <w:num w:numId="8">
    <w:abstractNumId w:val="11"/>
  </w:num>
  <w:num w:numId="9">
    <w:abstractNumId w:val="0"/>
  </w:num>
  <w:num w:numId="10">
    <w:abstractNumId w:val="5"/>
  </w:num>
  <w:num w:numId="11">
    <w:abstractNumId w:val="9"/>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90857"/>
    <w:rsid w:val="00001A78"/>
    <w:rsid w:val="0001303E"/>
    <w:rsid w:val="00022970"/>
    <w:rsid w:val="00033F59"/>
    <w:rsid w:val="00040D55"/>
    <w:rsid w:val="000477DF"/>
    <w:rsid w:val="0006175F"/>
    <w:rsid w:val="00096154"/>
    <w:rsid w:val="000A1886"/>
    <w:rsid w:val="000B7573"/>
    <w:rsid w:val="000C44B8"/>
    <w:rsid w:val="000C4BC9"/>
    <w:rsid w:val="000D4324"/>
    <w:rsid w:val="000E2B00"/>
    <w:rsid w:val="000E7570"/>
    <w:rsid w:val="00120022"/>
    <w:rsid w:val="00120DC0"/>
    <w:rsid w:val="001231A6"/>
    <w:rsid w:val="001238C4"/>
    <w:rsid w:val="0012418C"/>
    <w:rsid w:val="00133C16"/>
    <w:rsid w:val="00185364"/>
    <w:rsid w:val="0019238F"/>
    <w:rsid w:val="00193C39"/>
    <w:rsid w:val="001B1067"/>
    <w:rsid w:val="001C2E2A"/>
    <w:rsid w:val="001C486A"/>
    <w:rsid w:val="002209DF"/>
    <w:rsid w:val="00230D83"/>
    <w:rsid w:val="00235391"/>
    <w:rsid w:val="00242B84"/>
    <w:rsid w:val="00244DF5"/>
    <w:rsid w:val="00250288"/>
    <w:rsid w:val="002645B4"/>
    <w:rsid w:val="00281870"/>
    <w:rsid w:val="002863CD"/>
    <w:rsid w:val="002A4C0E"/>
    <w:rsid w:val="002E6FEC"/>
    <w:rsid w:val="002F2E9D"/>
    <w:rsid w:val="00324496"/>
    <w:rsid w:val="0032764A"/>
    <w:rsid w:val="00336BAB"/>
    <w:rsid w:val="0035158F"/>
    <w:rsid w:val="00361FAE"/>
    <w:rsid w:val="00364954"/>
    <w:rsid w:val="003667A4"/>
    <w:rsid w:val="00367C1F"/>
    <w:rsid w:val="00373B6B"/>
    <w:rsid w:val="00377D3E"/>
    <w:rsid w:val="003834C8"/>
    <w:rsid w:val="00395AFB"/>
    <w:rsid w:val="003B05C8"/>
    <w:rsid w:val="003B6B6A"/>
    <w:rsid w:val="003B74D9"/>
    <w:rsid w:val="003C4B11"/>
    <w:rsid w:val="003D64C1"/>
    <w:rsid w:val="003E22F9"/>
    <w:rsid w:val="00406248"/>
    <w:rsid w:val="004118D5"/>
    <w:rsid w:val="00437DB2"/>
    <w:rsid w:val="00457A6D"/>
    <w:rsid w:val="0046293E"/>
    <w:rsid w:val="00480ED5"/>
    <w:rsid w:val="004A0998"/>
    <w:rsid w:val="004B0F66"/>
    <w:rsid w:val="004B6AB7"/>
    <w:rsid w:val="004D231D"/>
    <w:rsid w:val="00515E9E"/>
    <w:rsid w:val="00523B00"/>
    <w:rsid w:val="0054615A"/>
    <w:rsid w:val="00547562"/>
    <w:rsid w:val="00547C15"/>
    <w:rsid w:val="0056737D"/>
    <w:rsid w:val="005705F1"/>
    <w:rsid w:val="00571075"/>
    <w:rsid w:val="00582CD0"/>
    <w:rsid w:val="00586CEB"/>
    <w:rsid w:val="00587064"/>
    <w:rsid w:val="0058711A"/>
    <w:rsid w:val="005A19FD"/>
    <w:rsid w:val="005A4973"/>
    <w:rsid w:val="005E245B"/>
    <w:rsid w:val="00603645"/>
    <w:rsid w:val="00617B0D"/>
    <w:rsid w:val="00632F27"/>
    <w:rsid w:val="00634EF3"/>
    <w:rsid w:val="00646B81"/>
    <w:rsid w:val="00647A6B"/>
    <w:rsid w:val="006653CE"/>
    <w:rsid w:val="0067554F"/>
    <w:rsid w:val="0067558F"/>
    <w:rsid w:val="0068713E"/>
    <w:rsid w:val="006A206A"/>
    <w:rsid w:val="006A5A40"/>
    <w:rsid w:val="006B30FB"/>
    <w:rsid w:val="006D2480"/>
    <w:rsid w:val="006D5E5D"/>
    <w:rsid w:val="006E007F"/>
    <w:rsid w:val="006E0B36"/>
    <w:rsid w:val="006E4EFC"/>
    <w:rsid w:val="006F63F3"/>
    <w:rsid w:val="00712E02"/>
    <w:rsid w:val="00717AFB"/>
    <w:rsid w:val="00723B7E"/>
    <w:rsid w:val="00735B8E"/>
    <w:rsid w:val="00737F6C"/>
    <w:rsid w:val="00746762"/>
    <w:rsid w:val="007B5B10"/>
    <w:rsid w:val="007D41E5"/>
    <w:rsid w:val="007D7830"/>
    <w:rsid w:val="0080351B"/>
    <w:rsid w:val="0080647A"/>
    <w:rsid w:val="008146D2"/>
    <w:rsid w:val="008324DB"/>
    <w:rsid w:val="00851D5F"/>
    <w:rsid w:val="008B4D2D"/>
    <w:rsid w:val="008C1F24"/>
    <w:rsid w:val="008D48DD"/>
    <w:rsid w:val="008D59E1"/>
    <w:rsid w:val="008E7C5C"/>
    <w:rsid w:val="008F0188"/>
    <w:rsid w:val="008F6A63"/>
    <w:rsid w:val="00907E2C"/>
    <w:rsid w:val="009235BD"/>
    <w:rsid w:val="00933FB6"/>
    <w:rsid w:val="009369DE"/>
    <w:rsid w:val="00944B99"/>
    <w:rsid w:val="00956145"/>
    <w:rsid w:val="00966FFB"/>
    <w:rsid w:val="00990857"/>
    <w:rsid w:val="00990EFE"/>
    <w:rsid w:val="00991AE0"/>
    <w:rsid w:val="00995874"/>
    <w:rsid w:val="009A3872"/>
    <w:rsid w:val="009B466F"/>
    <w:rsid w:val="009C76CE"/>
    <w:rsid w:val="009D6582"/>
    <w:rsid w:val="009F0D72"/>
    <w:rsid w:val="009F5FE6"/>
    <w:rsid w:val="00A103CA"/>
    <w:rsid w:val="00A113FB"/>
    <w:rsid w:val="00A20BAA"/>
    <w:rsid w:val="00A36DB8"/>
    <w:rsid w:val="00A47174"/>
    <w:rsid w:val="00A52270"/>
    <w:rsid w:val="00A529C1"/>
    <w:rsid w:val="00A7586D"/>
    <w:rsid w:val="00A9728D"/>
    <w:rsid w:val="00AB70AF"/>
    <w:rsid w:val="00AC00EB"/>
    <w:rsid w:val="00AC699E"/>
    <w:rsid w:val="00AD6333"/>
    <w:rsid w:val="00AD685A"/>
    <w:rsid w:val="00AF6218"/>
    <w:rsid w:val="00B00B1D"/>
    <w:rsid w:val="00B34B9A"/>
    <w:rsid w:val="00B441E6"/>
    <w:rsid w:val="00B87568"/>
    <w:rsid w:val="00B91159"/>
    <w:rsid w:val="00B91EDB"/>
    <w:rsid w:val="00BA3693"/>
    <w:rsid w:val="00BC2993"/>
    <w:rsid w:val="00BC4836"/>
    <w:rsid w:val="00BC4FE1"/>
    <w:rsid w:val="00BD059D"/>
    <w:rsid w:val="00C21E19"/>
    <w:rsid w:val="00C232F7"/>
    <w:rsid w:val="00C24471"/>
    <w:rsid w:val="00C24475"/>
    <w:rsid w:val="00C32377"/>
    <w:rsid w:val="00C36B26"/>
    <w:rsid w:val="00CA5753"/>
    <w:rsid w:val="00CC7D6A"/>
    <w:rsid w:val="00CD6A02"/>
    <w:rsid w:val="00CD7BF6"/>
    <w:rsid w:val="00D016C7"/>
    <w:rsid w:val="00D1216D"/>
    <w:rsid w:val="00D25231"/>
    <w:rsid w:val="00D431E2"/>
    <w:rsid w:val="00D63EE3"/>
    <w:rsid w:val="00D744C1"/>
    <w:rsid w:val="00D8102E"/>
    <w:rsid w:val="00D849E1"/>
    <w:rsid w:val="00DB725D"/>
    <w:rsid w:val="00DD40DD"/>
    <w:rsid w:val="00DD73CA"/>
    <w:rsid w:val="00DE0E82"/>
    <w:rsid w:val="00E01898"/>
    <w:rsid w:val="00E22EF0"/>
    <w:rsid w:val="00E40976"/>
    <w:rsid w:val="00E47C72"/>
    <w:rsid w:val="00E5038F"/>
    <w:rsid w:val="00E56B6E"/>
    <w:rsid w:val="00E57051"/>
    <w:rsid w:val="00E60D19"/>
    <w:rsid w:val="00E61540"/>
    <w:rsid w:val="00E6797C"/>
    <w:rsid w:val="00E73BC6"/>
    <w:rsid w:val="00E742AB"/>
    <w:rsid w:val="00E91750"/>
    <w:rsid w:val="00E92664"/>
    <w:rsid w:val="00E9491C"/>
    <w:rsid w:val="00EA528F"/>
    <w:rsid w:val="00EB08C7"/>
    <w:rsid w:val="00EB334D"/>
    <w:rsid w:val="00EC1FD1"/>
    <w:rsid w:val="00EF1D6A"/>
    <w:rsid w:val="00F01C29"/>
    <w:rsid w:val="00F03A62"/>
    <w:rsid w:val="00F23608"/>
    <w:rsid w:val="00F4171F"/>
    <w:rsid w:val="00F5356E"/>
    <w:rsid w:val="00F72BC5"/>
    <w:rsid w:val="00F72F8E"/>
    <w:rsid w:val="00F94C69"/>
    <w:rsid w:val="00F9711E"/>
    <w:rsid w:val="00FB102D"/>
    <w:rsid w:val="00FB7325"/>
    <w:rsid w:val="00FB7DB0"/>
    <w:rsid w:val="00FC19D5"/>
    <w:rsid w:val="00FD0057"/>
    <w:rsid w:val="00FD5ED9"/>
    <w:rsid w:val="00FE680B"/>
    <w:rsid w:val="00FF2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E9D"/>
    <w:pPr>
      <w:tabs>
        <w:tab w:val="center" w:pos="4536"/>
        <w:tab w:val="right" w:pos="9072"/>
      </w:tabs>
    </w:pPr>
  </w:style>
  <w:style w:type="character" w:customStyle="1" w:styleId="HeaderChar">
    <w:name w:val="Header Char"/>
    <w:basedOn w:val="DefaultParagraphFont"/>
    <w:link w:val="Header"/>
    <w:uiPriority w:val="99"/>
    <w:rsid w:val="002F2E9D"/>
    <w:rPr>
      <w:sz w:val="24"/>
      <w:szCs w:val="24"/>
      <w:lang w:val="en-US" w:eastAsia="en-US"/>
    </w:rPr>
  </w:style>
  <w:style w:type="paragraph" w:styleId="Footer">
    <w:name w:val="footer"/>
    <w:basedOn w:val="Normal"/>
    <w:link w:val="FooterChar"/>
    <w:uiPriority w:val="99"/>
    <w:rsid w:val="002F2E9D"/>
    <w:pPr>
      <w:tabs>
        <w:tab w:val="center" w:pos="4536"/>
        <w:tab w:val="right" w:pos="9072"/>
      </w:tabs>
    </w:pPr>
  </w:style>
  <w:style w:type="character" w:customStyle="1" w:styleId="FooterChar">
    <w:name w:val="Footer Char"/>
    <w:basedOn w:val="DefaultParagraphFont"/>
    <w:link w:val="Footer"/>
    <w:uiPriority w:val="99"/>
    <w:rsid w:val="002F2E9D"/>
    <w:rPr>
      <w:sz w:val="24"/>
      <w:szCs w:val="24"/>
      <w:lang w:val="en-US" w:eastAsia="en-US"/>
    </w:rPr>
  </w:style>
  <w:style w:type="paragraph" w:styleId="BalloonText">
    <w:name w:val="Balloon Text"/>
    <w:basedOn w:val="Normal"/>
    <w:link w:val="BalloonTextChar"/>
    <w:rsid w:val="002F2E9D"/>
    <w:rPr>
      <w:rFonts w:ascii="Tahoma" w:hAnsi="Tahoma" w:cs="Tahoma"/>
      <w:sz w:val="16"/>
      <w:szCs w:val="16"/>
    </w:rPr>
  </w:style>
  <w:style w:type="character" w:customStyle="1" w:styleId="BalloonTextChar">
    <w:name w:val="Balloon Text Char"/>
    <w:basedOn w:val="DefaultParagraphFont"/>
    <w:link w:val="BalloonText"/>
    <w:rsid w:val="002F2E9D"/>
    <w:rPr>
      <w:rFonts w:ascii="Tahoma" w:hAnsi="Tahoma" w:cs="Tahoma"/>
      <w:sz w:val="16"/>
      <w:szCs w:val="16"/>
      <w:lang w:val="en-US" w:eastAsia="en-US"/>
    </w:rPr>
  </w:style>
  <w:style w:type="character" w:customStyle="1" w:styleId="titlu011">
    <w:name w:val="titlu_011"/>
    <w:basedOn w:val="DefaultParagraphFont"/>
    <w:rsid w:val="00956145"/>
    <w:rPr>
      <w:rFonts w:ascii="Verdana" w:hAnsi="Verdana" w:hint="default"/>
      <w:b/>
      <w:bCs/>
      <w:color w:val="000000"/>
      <w:sz w:val="21"/>
      <w:szCs w:val="21"/>
    </w:rPr>
  </w:style>
  <w:style w:type="paragraph" w:customStyle="1" w:styleId="Default">
    <w:name w:val="Default"/>
    <w:rsid w:val="008F6A63"/>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A1CC4-3E7C-4417-B1E9-50FB676D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CCAS</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cp:lastModifiedBy>Juridic</cp:lastModifiedBy>
  <cp:revision>39</cp:revision>
  <cp:lastPrinted>2012-02-28T08:12:00Z</cp:lastPrinted>
  <dcterms:created xsi:type="dcterms:W3CDTF">2012-01-12T08:30:00Z</dcterms:created>
  <dcterms:modified xsi:type="dcterms:W3CDTF">2014-04-02T10:54:00Z</dcterms:modified>
</cp:coreProperties>
</file>