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ROMÂNIA </w:t>
      </w:r>
    </w:p>
    <w:p w:rsidR="00000000" w:rsidDel="00000000" w:rsidP="00000000" w:rsidRDefault="00000000" w:rsidRPr="00000000" w14:paraId="00000002">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JUDETUL TIMIŞ </w:t>
      </w:r>
    </w:p>
    <w:p w:rsidR="00000000" w:rsidDel="00000000" w:rsidP="00000000" w:rsidRDefault="00000000" w:rsidRPr="00000000" w14:paraId="00000003">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MUNICIPIUL TIMISOARA </w:t>
      </w:r>
    </w:p>
    <w:p w:rsidR="00000000" w:rsidDel="00000000" w:rsidP="00000000" w:rsidRDefault="00000000" w:rsidRPr="00000000" w14:paraId="00000004">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NR. _______________________ </w:t>
      </w:r>
    </w:p>
    <w:p w:rsidR="00000000" w:rsidDel="00000000" w:rsidP="00000000" w:rsidRDefault="00000000" w:rsidRPr="00000000" w14:paraId="00000005">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jc w:val="center"/>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jc w:val="cente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REFERAT DE APROBARE A PROIECTULUI DE HOTĂRÂRE </w:t>
      </w:r>
    </w:p>
    <w:p w:rsidR="00000000" w:rsidDel="00000000" w:rsidP="00000000" w:rsidRDefault="00000000" w:rsidRPr="00000000" w14:paraId="00000009">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A">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B">
      <w:pPr>
        <w:spacing w:after="100" w:before="100" w:line="276" w:lineRule="auto"/>
        <w:jc w:val="cente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Secțiunea 1</w:t>
      </w:r>
    </w:p>
    <w:p w:rsidR="00000000" w:rsidDel="00000000" w:rsidP="00000000" w:rsidRDefault="00000000" w:rsidRPr="00000000" w14:paraId="0000000C">
      <w:pPr>
        <w:spacing w:after="100" w:before="100" w:line="276" w:lineRule="auto"/>
        <w:jc w:val="center"/>
        <w:rPr>
          <w:rFonts w:ascii="Inter" w:cs="Inter" w:eastAsia="Inter" w:hAnsi="Inter"/>
          <w:b w:val="1"/>
          <w:sz w:val="20"/>
          <w:szCs w:val="20"/>
          <w:u w:val="single"/>
        </w:rPr>
      </w:pPr>
      <w:r w:rsidDel="00000000" w:rsidR="00000000" w:rsidRPr="00000000">
        <w:rPr>
          <w:rFonts w:ascii="Inter" w:cs="Inter" w:eastAsia="Inter" w:hAnsi="Inter"/>
          <w:b w:val="1"/>
          <w:sz w:val="20"/>
          <w:szCs w:val="20"/>
          <w:u w:val="single"/>
          <w:rtl w:val="0"/>
        </w:rPr>
        <w:t xml:space="preserve">Titlul proiectului de hotărâre</w:t>
      </w:r>
    </w:p>
    <w:p w:rsidR="00000000" w:rsidDel="00000000" w:rsidP="00000000" w:rsidRDefault="00000000" w:rsidRPr="00000000" w14:paraId="0000000D">
      <w:pPr>
        <w:spacing w:after="100" w:before="100" w:line="276" w:lineRule="auto"/>
        <w:jc w:val="center"/>
        <w:rPr>
          <w:rFonts w:ascii="Inter" w:cs="Inter" w:eastAsia="Inter" w:hAnsi="Inter"/>
          <w:sz w:val="20"/>
          <w:szCs w:val="20"/>
          <w:u w:val="single"/>
        </w:rPr>
      </w:pPr>
      <w:r w:rsidDel="00000000" w:rsidR="00000000" w:rsidRPr="00000000">
        <w:rPr>
          <w:rtl w:val="0"/>
        </w:rPr>
      </w:r>
    </w:p>
    <w:p w:rsidR="00000000" w:rsidDel="00000000" w:rsidP="00000000" w:rsidRDefault="00000000" w:rsidRPr="00000000" w14:paraId="0000000E">
      <w:pPr>
        <w:spacing w:after="100" w:before="100" w:line="276" w:lineRule="auto"/>
        <w:jc w:val="center"/>
        <w:rPr>
          <w:rFonts w:ascii="Inter" w:cs="Inter" w:eastAsia="Inter" w:hAnsi="Inter"/>
          <w:sz w:val="20"/>
          <w:szCs w:val="20"/>
        </w:rPr>
      </w:pPr>
      <w:r w:rsidDel="00000000" w:rsidR="00000000" w:rsidRPr="00000000">
        <w:rPr>
          <w:rFonts w:ascii="Inter" w:cs="Inter" w:eastAsia="Inter" w:hAnsi="Inter"/>
          <w:sz w:val="20"/>
          <w:szCs w:val="20"/>
          <w:rtl w:val="0"/>
        </w:rPr>
        <w:t xml:space="preserve">Proiect de hotărâre</w:t>
      </w:r>
      <w:r w:rsidDel="00000000" w:rsidR="00000000" w:rsidRPr="00000000">
        <w:rPr>
          <w:rFonts w:ascii="Inter" w:cs="Inter" w:eastAsia="Inter" w:hAnsi="Inter"/>
          <w:color w:val="212529"/>
          <w:sz w:val="20"/>
          <w:szCs w:val="20"/>
          <w:rtl w:val="0"/>
        </w:rPr>
        <w:t xml:space="preserve"> </w:t>
      </w:r>
      <w:r w:rsidDel="00000000" w:rsidR="00000000" w:rsidRPr="00000000">
        <w:rPr>
          <w:rFonts w:ascii="Inter" w:cs="Inter" w:eastAsia="Inter" w:hAnsi="Inter"/>
          <w:sz w:val="20"/>
          <w:szCs w:val="20"/>
          <w:rtl w:val="0"/>
        </w:rPr>
        <w:t xml:space="preserve">privind aprobarea modificării/actualizării Regulamentului de organizare și funcționare, Organigramei, Statului de funcții și Coeficienții de ierarhizare ale Centrului de Proiecte al Municipiului Timișoara</w:t>
      </w:r>
      <w:r w:rsidDel="00000000" w:rsidR="00000000" w:rsidRPr="00000000">
        <w:rPr>
          <w:rtl w:val="0"/>
        </w:rPr>
      </w:r>
    </w:p>
    <w:p w:rsidR="00000000" w:rsidDel="00000000" w:rsidP="00000000" w:rsidRDefault="00000000" w:rsidRPr="00000000" w14:paraId="0000000F">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0">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jc w:val="cente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Secțiunea a 2-a</w:t>
      </w:r>
    </w:p>
    <w:p w:rsidR="00000000" w:rsidDel="00000000" w:rsidP="00000000" w:rsidRDefault="00000000" w:rsidRPr="00000000" w14:paraId="00000012">
      <w:pPr>
        <w:spacing w:after="100" w:before="100" w:line="276" w:lineRule="auto"/>
        <w:jc w:val="center"/>
        <w:rPr>
          <w:rFonts w:ascii="Inter" w:cs="Inter" w:eastAsia="Inter" w:hAnsi="Inter"/>
          <w:b w:val="1"/>
          <w:sz w:val="20"/>
          <w:szCs w:val="20"/>
          <w:u w:val="single"/>
        </w:rPr>
      </w:pPr>
      <w:r w:rsidDel="00000000" w:rsidR="00000000" w:rsidRPr="00000000">
        <w:rPr>
          <w:rFonts w:ascii="Inter" w:cs="Inter" w:eastAsia="Inter" w:hAnsi="Inter"/>
          <w:b w:val="1"/>
          <w:sz w:val="20"/>
          <w:szCs w:val="20"/>
          <w:u w:val="single"/>
          <w:rtl w:val="0"/>
        </w:rPr>
        <w:t xml:space="preserve">Motivul emiterii proiectului de hotărâre</w:t>
      </w:r>
    </w:p>
    <w:p w:rsidR="00000000" w:rsidDel="00000000" w:rsidP="00000000" w:rsidRDefault="00000000" w:rsidRPr="00000000" w14:paraId="00000013">
      <w:pPr>
        <w:spacing w:after="100" w:before="100" w:line="276"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14">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1. Descrierea situaţiei actuale</w:t>
      </w:r>
    </w:p>
    <w:p w:rsidR="00000000" w:rsidDel="00000000" w:rsidP="00000000" w:rsidRDefault="00000000" w:rsidRPr="00000000" w14:paraId="00000015">
      <w:pPr>
        <w:spacing w:after="100" w:before="100" w:line="276" w:lineRule="auto"/>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016">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Hotărârea Consiliului Local al Municipiului Timișoara nr. 270/2020 s-a reglementat înființarea, organizarea și funcționarea Centrului de Proiecte Culturale și Administrare a Moștenirii Capitalei Culturale Europene al Municipiului Timișoara.</w:t>
      </w:r>
    </w:p>
    <w:p w:rsidR="00000000" w:rsidDel="00000000" w:rsidP="00000000" w:rsidRDefault="00000000" w:rsidRPr="00000000" w14:paraId="00000017">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8">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HCL nr. 84/2021 s-a modificat denumirea acestuia, devenind Centrul de Proiecte al Municipiului Timișoara, cu sediul în Timișoara, str. Vasile Alecsandri nr. 1, județul Timiș și s-au aprobat Regulamentul de organizare și funcționare, Organigrama, Statul de funcții și Nivelul salariilor de bază.</w:t>
      </w:r>
    </w:p>
    <w:p w:rsidR="00000000" w:rsidDel="00000000" w:rsidP="00000000" w:rsidRDefault="00000000" w:rsidRPr="00000000" w14:paraId="00000019">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A">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w:t>
      </w:r>
      <w:r w:rsidDel="00000000" w:rsidR="00000000" w:rsidRPr="00000000">
        <w:rPr>
          <w:rFonts w:ascii="Inter" w:cs="Inter" w:eastAsia="Inter" w:hAnsi="Inter"/>
          <w:sz w:val="20"/>
          <w:szCs w:val="20"/>
          <w:rtl w:val="0"/>
        </w:rPr>
        <w:t xml:space="preserve">HCL nr. 153/2021 și HCL nr. 187/2022 s-au aprobat modificări și completări ale structurii și modului de organizare a Centrului de Proiecte al Municipiului Timișoara, inclusiv modificarea Statului de funcţii, Organigramei, Coeficienților de ierarhizare şi a Regulamentului de Organizare şi Funcționare. Structura organizatorică a Centrului de Proiecte al Municipiului Timișoara cuprinde 1 serviciu, 1 birou şi 4 compartimente, aflate în subordinea directorului, iar numărul posturilor prevăzute în organigrama şi statul de funcții este de 30, dintre care: </w:t>
      </w:r>
    </w:p>
    <w:p w:rsidR="00000000" w:rsidDel="00000000" w:rsidP="00000000" w:rsidRDefault="00000000" w:rsidRPr="00000000" w14:paraId="0000001B">
      <w:pPr>
        <w:spacing w:after="100" w:before="100" w:line="276" w:lineRule="auto"/>
        <w:ind w:left="72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   4 - posturi - corespunzătoare unei funcții contractuale de conducere </w:t>
      </w:r>
    </w:p>
    <w:p w:rsidR="00000000" w:rsidDel="00000000" w:rsidP="00000000" w:rsidRDefault="00000000" w:rsidRPr="00000000" w14:paraId="0000001C">
      <w:pPr>
        <w:spacing w:after="100" w:before="100" w:line="276" w:lineRule="auto"/>
        <w:ind w:left="72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 26 - posturi - corespunzătoare funcţiilor contractuale de execuţie. </w:t>
      </w:r>
    </w:p>
    <w:p w:rsidR="00000000" w:rsidDel="00000000" w:rsidP="00000000" w:rsidRDefault="00000000" w:rsidRPr="00000000" w14:paraId="0000001D">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1E">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HCL nr. 84/2022 s-a dat în administrarea Centrului de Proiecte al Municipiului Timișoara  imobilul din Timişoara, str. Popa Șapcă nr. 4 - Clădirea Bastion.</w:t>
      </w:r>
    </w:p>
    <w:p w:rsidR="00000000" w:rsidDel="00000000" w:rsidP="00000000" w:rsidRDefault="00000000" w:rsidRPr="00000000" w14:paraId="0000001F">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0">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HCL nr. 432/2022 s-a dat în folosință gratuită Centrului de Proiecte al Municipiului Timișoara a imobilelor din Timișoara, b-dul. Take Ionescu nr. 83 și b-dul. Take Ionescu nr. 56-58 - Multiplexity.</w:t>
      </w:r>
    </w:p>
    <w:p w:rsidR="00000000" w:rsidDel="00000000" w:rsidP="00000000" w:rsidRDefault="00000000" w:rsidRPr="00000000" w14:paraId="00000021">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2">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HCL nr. 30/2023 s-a dat în administrare Centrului de Proiecte al Municipiului Timișoara a spațiului cu altă destinație SAD 5, situat în Timișoara, str. Vasile Alecsandri nr. 1.</w:t>
      </w:r>
    </w:p>
    <w:p w:rsidR="00000000" w:rsidDel="00000000" w:rsidP="00000000" w:rsidRDefault="00000000" w:rsidRPr="00000000" w14:paraId="00000023">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4">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HCL nr. 408/2023 s-a dat în folosință gratuită Centrului de Proiecte al Municipiului Timișoara a imobilelor din Timișoara, Piața Sooswelt (Piața Romanilor) nr. 1 și str. Ștefan cel Mare nr. 2, SAD 1 și SAD 2 - Palatul Ștefania.</w:t>
      </w:r>
    </w:p>
    <w:p w:rsidR="00000000" w:rsidDel="00000000" w:rsidP="00000000" w:rsidRDefault="00000000" w:rsidRPr="00000000" w14:paraId="00000025">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6">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 HCL nr. 435/2023 s-a dat în administrare Centrului de Proiecte al Municipiului Timișoara  imobilul din Timişoara, Piața Victoriei, nr. 7 - Cinematograf Timiș.</w:t>
      </w:r>
    </w:p>
    <w:p w:rsidR="00000000" w:rsidDel="00000000" w:rsidP="00000000" w:rsidRDefault="00000000" w:rsidRPr="00000000" w14:paraId="00000027">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8">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Centrul de Proiecte al Municipiului Timișoara este o </w:t>
      </w:r>
      <w:r w:rsidDel="00000000" w:rsidR="00000000" w:rsidRPr="00000000">
        <w:rPr>
          <w:rFonts w:ascii="Roboto" w:cs="Roboto" w:eastAsia="Roboto" w:hAnsi="Roboto"/>
          <w:color w:val="1f1f1f"/>
          <w:sz w:val="21"/>
          <w:szCs w:val="21"/>
          <w:highlight w:val="white"/>
          <w:rtl w:val="0"/>
        </w:rPr>
        <w:t xml:space="preserve">instituție publică de interes local, cu activitate </w:t>
      </w:r>
      <w:r w:rsidDel="00000000" w:rsidR="00000000" w:rsidRPr="00000000">
        <w:rPr>
          <w:rFonts w:ascii="Inter" w:cs="Inter" w:eastAsia="Inter" w:hAnsi="Inter"/>
          <w:sz w:val="20"/>
          <w:szCs w:val="20"/>
          <w:rtl w:val="0"/>
        </w:rPr>
        <w:t xml:space="preserve">în domeniul culturii - în principal privind contribuția la implementarea Programului cultural național „Timișoara 2023 – Capitală Europeană a Culturii” și consolidarea moștenirii acestuia, finanțarea proiectelor culturale și gestionarea infrastructurii culturale (cinematografe și alte spații) -  iar modificarea cadrului legal impune actualizarea, respectiv corelarea atribuţiilor și responsabilităților structurilor organizatorice în concordanţă cu modificările legislaţiei aplicabile. </w:t>
      </w:r>
    </w:p>
    <w:p w:rsidR="00000000" w:rsidDel="00000000" w:rsidP="00000000" w:rsidRDefault="00000000" w:rsidRPr="00000000" w14:paraId="00000029">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A">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La data intrării în vigoare a Legii nr. 296 din 26.10.2023 privind unele măsuri fiscal-bugetare pentru asigurarea sustenabilității financiare a Romaniei pe termen lung, în cadrul Centrului de Proiecte al Municipiului Timişoara există 3 posturi vacante corespunzătoare funcțiilor contractuale de execuție. Conform art. XVII alin. 5 literele f) și l) din Legea nr. 296/26.10.2023, posturile unice și </w:t>
      </w:r>
      <w:r w:rsidDel="00000000" w:rsidR="00000000" w:rsidRPr="00000000">
        <w:rPr>
          <w:rFonts w:ascii="Roboto" w:cs="Roboto" w:eastAsia="Roboto" w:hAnsi="Roboto"/>
          <w:sz w:val="21"/>
          <w:szCs w:val="21"/>
          <w:rtl w:val="0"/>
        </w:rPr>
        <w:t xml:space="preserve">personalul contractual </w:t>
      </w:r>
      <w:r w:rsidDel="00000000" w:rsidR="00000000" w:rsidRPr="00000000">
        <w:rPr>
          <w:rFonts w:ascii="Roboto" w:cs="Roboto" w:eastAsia="Roboto" w:hAnsi="Roboto"/>
          <w:sz w:val="21"/>
          <w:szCs w:val="21"/>
          <w:rtl w:val="0"/>
        </w:rPr>
        <w:t xml:space="preserve">pentru organizarea de spectacole şi concerte, organizarea şi valorificarea patrimoniului mobil şi imobil </w:t>
      </w:r>
      <w:r w:rsidDel="00000000" w:rsidR="00000000" w:rsidRPr="00000000">
        <w:rPr>
          <w:rFonts w:ascii="Inter" w:cs="Inter" w:eastAsia="Inter" w:hAnsi="Inter"/>
          <w:sz w:val="20"/>
          <w:szCs w:val="20"/>
          <w:rtl w:val="0"/>
        </w:rPr>
        <w:t xml:space="preserve">sunt exceptate de la desfiinţare. În consecinţă, postul vacant corespunzator functiei contractuale de Inspector de specialitate programe și proiecte, grad IA, postul vacant corespunzator functiei contractuale de Expert tehnic general, grad I, precum și postul vacant corespunzător funcției contractuale de Inspector de specialitate - Operator, grad I, sunt exceptate de la desființare. </w:t>
      </w:r>
    </w:p>
    <w:p w:rsidR="00000000" w:rsidDel="00000000" w:rsidP="00000000" w:rsidRDefault="00000000" w:rsidRPr="00000000" w14:paraId="0000002B">
      <w:pPr>
        <w:spacing w:after="100" w:before="100" w:line="276"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2C">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2. Schimbări preconizate și rezultate așteptate </w:t>
      </w:r>
    </w:p>
    <w:p w:rsidR="00000000" w:rsidDel="00000000" w:rsidP="00000000" w:rsidRDefault="00000000" w:rsidRPr="00000000" w14:paraId="0000002D">
      <w:pPr>
        <w:spacing w:after="100" w:before="100" w:line="276" w:lineRule="auto"/>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02E">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Pentru punerea în aplicare a prevederilor Legii nr.296/26.10.2023 privind unele măsuri fiscal-bugetare pentru asigurarea sustenabilităţii financiare a României pe termen lung, se stabilesc o serie de măsuri economico-financiare, cu caracter obligatoriu şi anume: </w:t>
      </w:r>
    </w:p>
    <w:p w:rsidR="00000000" w:rsidDel="00000000" w:rsidP="00000000" w:rsidRDefault="00000000" w:rsidRPr="00000000" w14:paraId="0000002F">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 desfiinţarea funcţiei contractuale de şef birou şi a structurii organizatorice care funcţionează ca birou; </w:t>
      </w:r>
    </w:p>
    <w:p w:rsidR="00000000" w:rsidDel="00000000" w:rsidP="00000000" w:rsidRDefault="00000000" w:rsidRPr="00000000" w14:paraId="00000030">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 modificarea normativului minim de personal pentru structura care funcţionează ca serviciu, </w:t>
      </w:r>
    </w:p>
    <w:p w:rsidR="00000000" w:rsidDel="00000000" w:rsidP="00000000" w:rsidRDefault="00000000" w:rsidRPr="00000000" w14:paraId="00000031">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 diminuarea numărului total a funcţiilor contractuale de conducere prin scăderea procentului de la maximum 12%, la maximum 8% din numărul total al posturilor aprobate. </w:t>
      </w:r>
    </w:p>
    <w:p w:rsidR="00000000" w:rsidDel="00000000" w:rsidP="00000000" w:rsidRDefault="00000000" w:rsidRPr="00000000" w14:paraId="00000032">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3">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Pentru punerea în aplicare a prevederilor Legii nr. 296/26.10.2023 se impune redimensionarea structurii care funcționează ca serviciu, redistribuirea atribuțiilor și responsabilităților acestor structuri și relocarea personalului existent, astfel încât să se asigure funcționalitatea structurilor organizatorice și realizarea obiectului principal de activitate al instituției. În acest sens, se impune modificarea Organigramei, Statului de funcții, Coeficienților de ierarhizare și a Regulamentului de organizare și funcționare până la data de 31.12.2023, asa cum prevede art. XIV alin. (1) din Legea nr. 296/2023.</w:t>
      </w:r>
    </w:p>
    <w:p w:rsidR="00000000" w:rsidDel="00000000" w:rsidP="00000000" w:rsidRDefault="00000000" w:rsidRPr="00000000" w14:paraId="00000034">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5">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Structura organizatorică propusă respectă prevederile Legii nr. 296/26.10.2023 referitoare la desființarea structurii care funcționează ca birou și respectă cerințele privind normativul minim de personal pentru structura care funcționează ca serviciu:</w:t>
      </w:r>
    </w:p>
    <w:p w:rsidR="00000000" w:rsidDel="00000000" w:rsidP="00000000" w:rsidRDefault="00000000" w:rsidRPr="00000000" w14:paraId="00000036">
      <w:pPr>
        <w:numPr>
          <w:ilvl w:val="0"/>
          <w:numId w:val="1"/>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Se desființează postul corespunzător funcției contractuale de conducere de Șef Birou Buget, Finanțe și Achiziții publice și totodată se desființează structura care funcționează ca birou, fiind cuprinsă în Compartimentul Buget, Financiar și Achiziții publice. Postul corespunzător funcției contractuale de șef de birou se desființează și se înființează postul corespunzător funcției contractuale de execuţie de Inspector de specialitate financiar, grad IA, care corespunde studiilor de specialitate şi vechimii în specialitate deținute de persoana care a ocupat funcția de șef birou.</w:t>
      </w:r>
    </w:p>
    <w:p w:rsidR="00000000" w:rsidDel="00000000" w:rsidP="00000000" w:rsidRDefault="00000000" w:rsidRPr="00000000" w14:paraId="00000037">
      <w:pPr>
        <w:numPr>
          <w:ilvl w:val="0"/>
          <w:numId w:val="1"/>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Se redimensionează Serviciul programare și administrare spații, care va avea în componenta sa 11 posturi, din care o funcție contractuală de conducere de șef serviciu și 10 funcții contractuale de execuție, prin adăugarea unui număr de 3 posturi: 1 post distribuit de la Compartimentul comunicare și relații publice și 2 posturi prin transfer de la Primăria Municipiului Timișoara. </w:t>
      </w:r>
    </w:p>
    <w:p w:rsidR="00000000" w:rsidDel="00000000" w:rsidP="00000000" w:rsidRDefault="00000000" w:rsidRPr="00000000" w14:paraId="00000038">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9">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După aplicarea corespunzătoare a prevederilor Legii nr. 296/26.10.2023, numărul total de posturi din cadrul Centrului de Proiecte al Municipiului Timișoara, va fi de 33 din care: 3 funcții contractuale de conducere și 30 funcții contractuale de execuție.</w:t>
      </w:r>
    </w:p>
    <w:p w:rsidR="00000000" w:rsidDel="00000000" w:rsidP="00000000" w:rsidRDefault="00000000" w:rsidRPr="00000000" w14:paraId="0000003A">
      <w:pPr>
        <w:spacing w:after="100" w:before="100" w:line="276"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B">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În final, structura organizatorică a CDP va cuprinde 1 serviciu şi 5 compartimente, conform Organigramei și Statului de funcții, cuprinse în anexele 2 - 3. </w:t>
      </w:r>
    </w:p>
    <w:p w:rsidR="00000000" w:rsidDel="00000000" w:rsidP="00000000" w:rsidRDefault="00000000" w:rsidRPr="00000000" w14:paraId="0000003C">
      <w:pPr>
        <w:spacing w:after="100" w:before="100" w:line="276" w:lineRule="auto"/>
        <w:rPr>
          <w:rFonts w:ascii="Inter" w:cs="Inter" w:eastAsia="Inter" w:hAnsi="Inter"/>
          <w:i w:val="1"/>
          <w:sz w:val="20"/>
          <w:szCs w:val="20"/>
        </w:rPr>
      </w:pPr>
      <w:r w:rsidDel="00000000" w:rsidR="00000000" w:rsidRPr="00000000">
        <w:rPr>
          <w:rtl w:val="0"/>
        </w:rPr>
      </w:r>
    </w:p>
    <w:p w:rsidR="00000000" w:rsidDel="00000000" w:rsidP="00000000" w:rsidRDefault="00000000" w:rsidRPr="00000000" w14:paraId="0000003D">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3. Alte informaţii </w:t>
      </w:r>
    </w:p>
    <w:p w:rsidR="00000000" w:rsidDel="00000000" w:rsidP="00000000" w:rsidRDefault="00000000" w:rsidRPr="00000000" w14:paraId="0000003E">
      <w:pPr>
        <w:spacing w:after="100" w:before="100" w:line="276" w:lineRule="auto"/>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03F">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Se vor modifica Organigrama, Statul de Funcții, Coeficienții de ierarhizare şi Regulamentul de Organizare şi Funcţionare aprobate prin hotărâri ale Consiliului Local Timișoara. </w:t>
      </w:r>
    </w:p>
    <w:p w:rsidR="00000000" w:rsidDel="00000000" w:rsidP="00000000" w:rsidRDefault="00000000" w:rsidRPr="00000000" w14:paraId="00000040">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4. Concluzii </w:t>
      </w:r>
    </w:p>
    <w:p w:rsidR="00000000" w:rsidDel="00000000" w:rsidP="00000000" w:rsidRDefault="00000000" w:rsidRPr="00000000" w14:paraId="00000042">
      <w:pPr>
        <w:spacing w:after="100" w:before="100" w:line="276" w:lineRule="auto"/>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043">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Propunem spre aprobare Regulamentul de Organizare și Funcționare, Organigrama, Statul de funcții și Coeficienții de ierarhizare ale Centrului de Proiecte al Municipiului Timișoara, conform anexelor 1- 4 care fac parte integrantă din prezentul proiect de hotărâre. </w:t>
      </w:r>
    </w:p>
    <w:p w:rsidR="00000000" w:rsidDel="00000000" w:rsidP="00000000" w:rsidRDefault="00000000" w:rsidRPr="00000000" w14:paraId="00000044">
      <w:pPr>
        <w:spacing w:after="100" w:before="100" w:line="276"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5">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PRIMAR,</w:t>
        <w:tab/>
        <w:tab/>
        <w:tab/>
        <w:tab/>
        <w:tab/>
        <w:tab/>
        <w:tab/>
        <w:tab/>
        <w:tab/>
        <w:t xml:space="preserve">             DIRECTOR, </w:t>
      </w:r>
    </w:p>
    <w:p w:rsidR="00000000" w:rsidDel="00000000" w:rsidP="00000000" w:rsidRDefault="00000000" w:rsidRPr="00000000" w14:paraId="00000046">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DOMINIC FRITZ</w:t>
        <w:tab/>
        <w:tab/>
        <w:tab/>
        <w:tab/>
        <w:tab/>
        <w:t xml:space="preserve">                      ALEXANDRA -MARIA RIGLER</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leader="none" w:pos="4680"/>
        <w:tab w:val="right" w:leader="none" w:pos="9360"/>
      </w:tabs>
      <w:spacing w:line="240" w:lineRule="auto"/>
      <w:rPr/>
    </w:pPr>
    <w:r w:rsidDel="00000000" w:rsidR="00000000" w:rsidRPr="00000000">
      <w:rPr>
        <w:rFonts w:ascii="Inter" w:cs="Inter" w:eastAsia="Inter" w:hAnsi="Inter"/>
        <w:sz w:val="20"/>
        <w:szCs w:val="20"/>
        <w:rtl w:val="0"/>
      </w:rPr>
      <w:t xml:space="preserve">Pagina </w:t>
    </w:r>
    <w:r w:rsidDel="00000000" w:rsidR="00000000" w:rsidRPr="00000000">
      <w:rPr>
        <w:rFonts w:ascii="Inter" w:cs="Inter" w:eastAsia="Inter" w:hAnsi="Inter"/>
        <w:sz w:val="20"/>
        <w:szCs w:val="20"/>
      </w:rPr>
      <w:fldChar w:fldCharType="begin"/>
      <w:instrText xml:space="preserve">PAGE</w:instrText>
      <w:fldChar w:fldCharType="separate"/>
      <w:fldChar w:fldCharType="end"/>
    </w:r>
    <w:r w:rsidDel="00000000" w:rsidR="00000000" w:rsidRPr="00000000">
      <w:rPr>
        <w:rFonts w:ascii="Inter" w:cs="Inter" w:eastAsia="Inter" w:hAnsi="Inter"/>
        <w:sz w:val="20"/>
        <w:szCs w:val="20"/>
        <w:rtl w:val="0"/>
      </w:rPr>
      <w:t xml:space="preserve"> din </w:t>
    </w:r>
    <w:r w:rsidDel="00000000" w:rsidR="00000000" w:rsidRPr="00000000">
      <w:rPr>
        <w:rFonts w:ascii="Inter" w:cs="Inter" w:eastAsia="Inter" w:hAnsi="Inter"/>
        <w:sz w:val="20"/>
        <w:szCs w:val="2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