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SC2021-12359/16.12.2021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9E40AA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9E40AA" w:rsidRPr="00C1415B">
        <w:rPr>
          <w:sz w:val="24"/>
          <w:lang w:val="it-IT"/>
        </w:rPr>
        <w:t>:</w:t>
      </w:r>
      <w:r w:rsidR="009E40AA">
        <w:rPr>
          <w:sz w:val="24"/>
          <w:lang w:val="it-IT"/>
        </w:rPr>
        <w:t xml:space="preserve">   Bd. 3 August 1919, nr. </w:t>
      </w:r>
      <w:r w:rsidR="003F6EBA">
        <w:rPr>
          <w:sz w:val="24"/>
          <w:lang w:val="it-IT"/>
        </w:rPr>
        <w:t>4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3F6EBA">
        <w:rPr>
          <w:w w:val="105"/>
        </w:rPr>
        <w:t>3</w:t>
      </w:r>
      <w:r w:rsidR="009E40AA">
        <w:rPr>
          <w:w w:val="105"/>
        </w:rPr>
        <w:t>/III/F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9E40AA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9E40AA" w:rsidRPr="009E40AA">
        <w:rPr>
          <w:b/>
          <w:sz w:val="24"/>
          <w:lang w:val="it-IT"/>
        </w:rPr>
        <w:t xml:space="preserve"> </w:t>
      </w:r>
      <w:r w:rsidR="009E40AA">
        <w:rPr>
          <w:b/>
          <w:sz w:val="24"/>
          <w:lang w:val="it-IT"/>
        </w:rPr>
        <w:t xml:space="preserve">Bd. 3 August 1919, nr. </w:t>
      </w:r>
      <w:r w:rsidR="003F6EBA">
        <w:rPr>
          <w:b/>
          <w:sz w:val="24"/>
          <w:lang w:val="it-IT"/>
        </w:rPr>
        <w:t>4</w:t>
      </w:r>
      <w:r w:rsidR="009E40AA">
        <w:rPr>
          <w:w w:val="105"/>
        </w:rPr>
        <w:t>,</w:t>
      </w:r>
      <w:r w:rsidR="009E40AA">
        <w:rPr>
          <w:spacing w:val="-4"/>
          <w:w w:val="105"/>
        </w:rPr>
        <w:t xml:space="preserve"> 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9E40AA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9E40AA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9E40AA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9E40AA">
        <w:rPr>
          <w:b/>
          <w:sz w:val="24"/>
          <w:lang w:val="it-IT"/>
        </w:rPr>
        <w:t>Bd. 3 August 1919, nr.</w:t>
      </w:r>
      <w:r w:rsidR="003F6EBA">
        <w:rPr>
          <w:b/>
          <w:sz w:val="24"/>
          <w:lang w:val="it-IT"/>
        </w:rPr>
        <w:t>4</w:t>
      </w:r>
      <w:r w:rsidR="009E40AA">
        <w:rPr>
          <w:w w:val="105"/>
        </w:rPr>
        <w:t>,</w:t>
      </w:r>
      <w:r w:rsidR="009E40AA">
        <w:rPr>
          <w:spacing w:val="-4"/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4CD" w:rsidRDefault="005324CD" w:rsidP="00FE263F">
      <w:r>
        <w:separator/>
      </w:r>
    </w:p>
  </w:endnote>
  <w:endnote w:type="continuationSeparator" w:id="0">
    <w:p w:rsidR="005324CD" w:rsidRDefault="005324CD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805D70">
    <w:pPr>
      <w:pStyle w:val="BodyText"/>
      <w:spacing w:before="0" w:line="14" w:lineRule="auto"/>
      <w:ind w:left="0"/>
      <w:rPr>
        <w:sz w:val="20"/>
      </w:rPr>
    </w:pPr>
    <w:r w:rsidRPr="00805D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4CD" w:rsidRDefault="005324CD" w:rsidP="00FE263F">
      <w:r>
        <w:separator/>
      </w:r>
    </w:p>
  </w:footnote>
  <w:footnote w:type="continuationSeparator" w:id="0">
    <w:p w:rsidR="005324CD" w:rsidRDefault="005324CD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263F"/>
    <w:rsid w:val="00125E6D"/>
    <w:rsid w:val="00316353"/>
    <w:rsid w:val="00390B53"/>
    <w:rsid w:val="00394F87"/>
    <w:rsid w:val="003F5B16"/>
    <w:rsid w:val="003F6EBA"/>
    <w:rsid w:val="005324CD"/>
    <w:rsid w:val="005457F2"/>
    <w:rsid w:val="005762C1"/>
    <w:rsid w:val="005F21B1"/>
    <w:rsid w:val="0076012A"/>
    <w:rsid w:val="00805D70"/>
    <w:rsid w:val="008C001F"/>
    <w:rsid w:val="008C26E7"/>
    <w:rsid w:val="008F69A8"/>
    <w:rsid w:val="00933B72"/>
    <w:rsid w:val="009474CC"/>
    <w:rsid w:val="009753DB"/>
    <w:rsid w:val="009E40AA"/>
    <w:rsid w:val="00A15443"/>
    <w:rsid w:val="00AF08FD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mburdan</cp:lastModifiedBy>
  <cp:revision>3</cp:revision>
  <dcterms:created xsi:type="dcterms:W3CDTF">2021-12-17T10:40:00Z</dcterms:created>
  <dcterms:modified xsi:type="dcterms:W3CDTF">2021-12-17T10:42:00Z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