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10F" w:rsidRPr="00A4510F" w:rsidRDefault="00A279B8" w:rsidP="00A4510F">
      <w:pPr>
        <w:jc w:val="both"/>
        <w:rPr>
          <w:rFonts w:ascii="Times New Roman" w:hAnsi="Times New Roman"/>
          <w:sz w:val="24"/>
          <w:szCs w:val="24"/>
        </w:rPr>
      </w:pPr>
      <w:bookmarkStart w:id="0" w:name="_GoBack"/>
      <w:bookmarkEnd w:id="0"/>
      <w:r>
        <w:rPr>
          <w:rFonts w:ascii="Times New Roman" w:hAnsi="Times New Roman"/>
          <w:sz w:val="24"/>
          <w:szCs w:val="24"/>
        </w:rPr>
        <w:t>Nr.</w:t>
      </w:r>
      <w:r w:rsidR="006829C5">
        <w:rPr>
          <w:rFonts w:ascii="Times New Roman" w:hAnsi="Times New Roman"/>
          <w:sz w:val="24"/>
          <w:szCs w:val="24"/>
        </w:rPr>
        <w:t>9018/26.05.2022</w:t>
      </w:r>
    </w:p>
    <w:p w:rsidR="00A4510F" w:rsidRPr="00A4510F" w:rsidRDefault="00A4510F" w:rsidP="00A4510F">
      <w:pPr>
        <w:jc w:val="both"/>
        <w:rPr>
          <w:rFonts w:ascii="Times New Roman" w:hAnsi="Times New Roman"/>
          <w:sz w:val="24"/>
          <w:szCs w:val="24"/>
        </w:rPr>
      </w:pPr>
    </w:p>
    <w:p w:rsidR="00A4510F" w:rsidRPr="00A4510F" w:rsidRDefault="0048075E" w:rsidP="00A4510F">
      <w:pPr>
        <w:jc w:val="center"/>
        <w:rPr>
          <w:rFonts w:ascii="Times New Roman" w:hAnsi="Times New Roman"/>
          <w:sz w:val="24"/>
          <w:szCs w:val="24"/>
        </w:rPr>
      </w:pPr>
      <w:r w:rsidRPr="00A4510F">
        <w:rPr>
          <w:rFonts w:ascii="Times New Roman" w:hAnsi="Times New Roman"/>
          <w:sz w:val="24"/>
          <w:szCs w:val="24"/>
        </w:rPr>
        <w:t>REFERAT DE APROBARE A PROIECTULUI DE HOTĂRÂRE</w:t>
      </w:r>
    </w:p>
    <w:p w:rsidR="00A4510F" w:rsidRPr="00A4510F" w:rsidRDefault="0048075E" w:rsidP="00A4510F">
      <w:pPr>
        <w:jc w:val="center"/>
        <w:rPr>
          <w:rFonts w:ascii="Times New Roman" w:hAnsi="Times New Roman"/>
          <w:sz w:val="24"/>
          <w:szCs w:val="24"/>
        </w:rPr>
      </w:pPr>
      <w:r w:rsidRPr="00A4510F">
        <w:rPr>
          <w:rFonts w:ascii="Times New Roman" w:hAnsi="Times New Roman"/>
          <w:sz w:val="24"/>
          <w:szCs w:val="24"/>
        </w:rPr>
        <w:t>Sectiunea 1</w:t>
      </w:r>
    </w:p>
    <w:p w:rsidR="00A279B8" w:rsidRPr="00426049" w:rsidRDefault="0048075E" w:rsidP="00A4510F">
      <w:pPr>
        <w:jc w:val="center"/>
        <w:rPr>
          <w:rFonts w:ascii="Times New Roman" w:hAnsi="Times New Roman"/>
          <w:b/>
          <w:sz w:val="24"/>
          <w:szCs w:val="24"/>
        </w:rPr>
      </w:pPr>
      <w:r w:rsidRPr="00426049">
        <w:rPr>
          <w:rFonts w:ascii="Times New Roman" w:hAnsi="Times New Roman"/>
          <w:b/>
          <w:sz w:val="24"/>
          <w:szCs w:val="24"/>
        </w:rPr>
        <w:t xml:space="preserve">Titlul proiectului de hotărâre </w:t>
      </w:r>
    </w:p>
    <w:p w:rsidR="00A4510F" w:rsidRPr="00A4510F" w:rsidRDefault="0048075E" w:rsidP="00A4510F">
      <w:pPr>
        <w:jc w:val="center"/>
        <w:rPr>
          <w:rFonts w:ascii="Times New Roman" w:hAnsi="Times New Roman"/>
          <w:sz w:val="24"/>
          <w:szCs w:val="24"/>
        </w:rPr>
      </w:pPr>
      <w:r w:rsidRPr="00A4510F">
        <w:rPr>
          <w:rFonts w:ascii="Times New Roman" w:hAnsi="Times New Roman"/>
          <w:sz w:val="24"/>
          <w:szCs w:val="24"/>
        </w:rPr>
        <w:t xml:space="preserve">Privind stabilirea salariilor de bază </w:t>
      </w:r>
      <w:r w:rsidR="00FC39AA" w:rsidRPr="00A4510F">
        <w:rPr>
          <w:rFonts w:ascii="Times New Roman" w:hAnsi="Times New Roman"/>
          <w:sz w:val="24"/>
          <w:szCs w:val="24"/>
        </w:rPr>
        <w:t>pentru funcționarii publici și personalul contractual din cadrul familiei ocupaționale «Administrație»</w:t>
      </w:r>
      <w:r w:rsidR="00FC39AA">
        <w:rPr>
          <w:rFonts w:ascii="Times New Roman" w:hAnsi="Times New Roman"/>
          <w:sz w:val="24"/>
          <w:szCs w:val="24"/>
        </w:rPr>
        <w:t xml:space="preserve"> </w:t>
      </w:r>
      <w:r w:rsidRPr="00A4510F">
        <w:rPr>
          <w:rFonts w:ascii="Times New Roman" w:hAnsi="Times New Roman"/>
          <w:sz w:val="24"/>
          <w:szCs w:val="24"/>
        </w:rPr>
        <w:t xml:space="preserve">din cadrul </w:t>
      </w:r>
      <w:r w:rsidR="00A4510F" w:rsidRPr="00A4510F">
        <w:rPr>
          <w:rFonts w:ascii="Times New Roman" w:hAnsi="Times New Roman"/>
          <w:sz w:val="24"/>
          <w:szCs w:val="24"/>
        </w:rPr>
        <w:t xml:space="preserve">Direcției de Asistență Sociala a Municipiului </w:t>
      </w:r>
      <w:r w:rsidRPr="00A4510F">
        <w:rPr>
          <w:rFonts w:ascii="Times New Roman" w:hAnsi="Times New Roman"/>
          <w:sz w:val="24"/>
          <w:szCs w:val="24"/>
        </w:rPr>
        <w:t xml:space="preserve"> Timișoara</w:t>
      </w:r>
    </w:p>
    <w:p w:rsidR="00A4510F" w:rsidRPr="00A4510F" w:rsidRDefault="0048075E" w:rsidP="00A279B8">
      <w:pPr>
        <w:jc w:val="center"/>
        <w:rPr>
          <w:rFonts w:ascii="Times New Roman" w:hAnsi="Times New Roman"/>
          <w:sz w:val="24"/>
          <w:szCs w:val="24"/>
        </w:rPr>
      </w:pPr>
      <w:r w:rsidRPr="00A4510F">
        <w:rPr>
          <w:rFonts w:ascii="Times New Roman" w:hAnsi="Times New Roman"/>
          <w:sz w:val="24"/>
          <w:szCs w:val="24"/>
        </w:rPr>
        <w:t>Sectiunea a 2 - a Motivul emiterii proiectului de hotărâre</w:t>
      </w:r>
    </w:p>
    <w:p w:rsidR="00A4510F" w:rsidRDefault="0048075E" w:rsidP="00A4510F">
      <w:pPr>
        <w:jc w:val="both"/>
        <w:rPr>
          <w:rFonts w:ascii="Times New Roman" w:hAnsi="Times New Roman"/>
          <w:sz w:val="24"/>
          <w:szCs w:val="24"/>
        </w:rPr>
      </w:pPr>
      <w:r w:rsidRPr="00007414">
        <w:rPr>
          <w:rFonts w:ascii="Times New Roman" w:hAnsi="Times New Roman"/>
          <w:b/>
          <w:sz w:val="24"/>
          <w:szCs w:val="24"/>
          <w:u w:val="single"/>
        </w:rPr>
        <w:t>Descrierea situatiei actuale</w:t>
      </w:r>
      <w:r w:rsidR="00A4510F">
        <w:rPr>
          <w:rFonts w:ascii="Times New Roman" w:hAnsi="Times New Roman"/>
          <w:sz w:val="24"/>
          <w:szCs w:val="24"/>
        </w:rPr>
        <w:t>:</w:t>
      </w:r>
    </w:p>
    <w:p w:rsidR="00A4510F" w:rsidRPr="00A4510F" w:rsidRDefault="00A279B8" w:rsidP="00A4510F">
      <w:pPr>
        <w:jc w:val="both"/>
        <w:rPr>
          <w:rFonts w:ascii="Times New Roman" w:hAnsi="Times New Roman"/>
          <w:sz w:val="24"/>
          <w:szCs w:val="24"/>
        </w:rPr>
      </w:pPr>
      <w:r>
        <w:rPr>
          <w:rFonts w:ascii="Times New Roman" w:hAnsi="Times New Roman"/>
          <w:sz w:val="24"/>
          <w:szCs w:val="24"/>
        </w:rPr>
        <w:tab/>
      </w:r>
      <w:r w:rsidR="001B1985">
        <w:rPr>
          <w:rFonts w:ascii="Times New Roman" w:hAnsi="Times New Roman"/>
          <w:sz w:val="24"/>
          <w:szCs w:val="24"/>
        </w:rPr>
        <w:t>F</w:t>
      </w:r>
      <w:r w:rsidR="001B1985" w:rsidRPr="00A4510F">
        <w:rPr>
          <w:rFonts w:ascii="Times New Roman" w:hAnsi="Times New Roman"/>
          <w:sz w:val="24"/>
          <w:szCs w:val="24"/>
        </w:rPr>
        <w:t>uncționarii publici și personalul contractual din cadrul familiei ocupaționale «Administrație»</w:t>
      </w:r>
      <w:r w:rsidR="0048075E" w:rsidRPr="00A4510F">
        <w:rPr>
          <w:rFonts w:ascii="Times New Roman" w:hAnsi="Times New Roman"/>
          <w:sz w:val="24"/>
          <w:szCs w:val="24"/>
        </w:rPr>
        <w:t xml:space="preserve">din cadrul </w:t>
      </w:r>
      <w:r w:rsidR="00A4510F" w:rsidRPr="00A4510F">
        <w:rPr>
          <w:rFonts w:ascii="Times New Roman" w:hAnsi="Times New Roman"/>
          <w:sz w:val="24"/>
          <w:szCs w:val="24"/>
        </w:rPr>
        <w:t xml:space="preserve">Direcției de Asistență Socială a Municipiului Timișoara </w:t>
      </w:r>
      <w:r w:rsidR="0048075E" w:rsidRPr="00A4510F">
        <w:rPr>
          <w:rFonts w:ascii="Times New Roman" w:hAnsi="Times New Roman"/>
          <w:sz w:val="24"/>
          <w:szCs w:val="24"/>
        </w:rPr>
        <w:t xml:space="preserve">din subordinea Consiliului Local al Municipiului Timișoara este salarizat în baza Hotărârii Consiliului Local nr. </w:t>
      </w:r>
      <w:r w:rsidR="00A4510F" w:rsidRPr="00A4510F">
        <w:rPr>
          <w:rFonts w:ascii="Times New Roman" w:hAnsi="Times New Roman"/>
          <w:sz w:val="24"/>
          <w:szCs w:val="24"/>
        </w:rPr>
        <w:t>473</w:t>
      </w:r>
      <w:r w:rsidR="0048075E" w:rsidRPr="00A4510F">
        <w:rPr>
          <w:rFonts w:ascii="Times New Roman" w:hAnsi="Times New Roman"/>
          <w:sz w:val="24"/>
          <w:szCs w:val="24"/>
        </w:rPr>
        <w:t xml:space="preserve">/2017, care stabilește cuantumuri fixe ale salariilor de bază pentru diferitele funcții aprobate. Dar în tot cuprinsul ei, Legea-cadru nr. 153/2017 privind salarizarea personalului plătit din fonduri publice face referire expresă la ierarhizarea posturilor și utilizarea coeficienților de ierarhizare la stabilirea salariilor de bază prin înmulțirea acestora cu salariul de bază minim brut pe țară garantat în plată în vigoare. În spiritul și litera Legii nr.153/2017, propunem reașezarea sistemului de salarizare prin stabilirea coeficienții de ierarhizare a posturilor din cadrul </w:t>
      </w:r>
      <w:r w:rsidR="00224387">
        <w:rPr>
          <w:rFonts w:ascii="Times New Roman" w:hAnsi="Times New Roman"/>
          <w:sz w:val="24"/>
          <w:szCs w:val="24"/>
        </w:rPr>
        <w:t>Direcției de Asistență Socială a Municipiului</w:t>
      </w:r>
      <w:r w:rsidR="0048075E" w:rsidRPr="00A4510F">
        <w:rPr>
          <w:rFonts w:ascii="Times New Roman" w:hAnsi="Times New Roman"/>
          <w:sz w:val="24"/>
          <w:szCs w:val="24"/>
        </w:rPr>
        <w:t xml:space="preserve">, cu valori cuprinse între 1,00 - nivelul minim impus de lege (corespunzător salariului minim pe economice) și 8,00 - nivelul maxim (stabilit de legiuitor pentru determinarea indemnizației viceprimarului, astfel: </w:t>
      </w:r>
    </w:p>
    <w:p w:rsidR="00A4510F" w:rsidRPr="00A4510F" w:rsidRDefault="0048075E" w:rsidP="00A4510F">
      <w:pPr>
        <w:jc w:val="both"/>
        <w:rPr>
          <w:rFonts w:ascii="Times New Roman" w:hAnsi="Times New Roman"/>
          <w:sz w:val="24"/>
          <w:szCs w:val="24"/>
        </w:rPr>
      </w:pPr>
      <w:r w:rsidRPr="00A4510F">
        <w:rPr>
          <w:rFonts w:ascii="Times New Roman" w:hAnsi="Times New Roman"/>
          <w:sz w:val="24"/>
          <w:szCs w:val="24"/>
        </w:rPr>
        <w:t xml:space="preserve">• Pentru funcțiile de conducere sunt stabilite 2 grade cu nivele de coeficienți de ierarhizare corespunzătoare; </w:t>
      </w:r>
    </w:p>
    <w:p w:rsidR="00A4510F" w:rsidRPr="00A4510F" w:rsidRDefault="0048075E" w:rsidP="00A4510F">
      <w:pPr>
        <w:jc w:val="both"/>
        <w:rPr>
          <w:rFonts w:ascii="Times New Roman" w:hAnsi="Times New Roman"/>
          <w:sz w:val="24"/>
          <w:szCs w:val="24"/>
        </w:rPr>
      </w:pPr>
      <w:r w:rsidRPr="00A4510F">
        <w:rPr>
          <w:rFonts w:ascii="Times New Roman" w:hAnsi="Times New Roman"/>
          <w:sz w:val="24"/>
          <w:szCs w:val="24"/>
        </w:rPr>
        <w:t xml:space="preserve">• Potrivit articolului 19 din Legea nr.153/2017, salariul de bază pentru funcțiile de conducere se stabilește de către conducătorul instituției publice, în raport cu responsabilitatea, complexitatea și impactul deciziilor impuse de atribuțiile corespunzătoare activității desfășurate; </w:t>
      </w:r>
    </w:p>
    <w:p w:rsidR="00A4510F" w:rsidRPr="00A4510F" w:rsidRDefault="0048075E" w:rsidP="00A4510F">
      <w:pPr>
        <w:jc w:val="both"/>
        <w:rPr>
          <w:rFonts w:ascii="Times New Roman" w:hAnsi="Times New Roman"/>
          <w:sz w:val="24"/>
          <w:szCs w:val="24"/>
        </w:rPr>
      </w:pPr>
      <w:r w:rsidRPr="00A4510F">
        <w:rPr>
          <w:rFonts w:ascii="Times New Roman" w:hAnsi="Times New Roman"/>
          <w:sz w:val="24"/>
          <w:szCs w:val="24"/>
        </w:rPr>
        <w:t xml:space="preserve">• În salariul de bază pentru funcțiile de conducere atât la gradul I, cât și la gradul II, este inclusă gradația aferentă tranșei de vechime în muncă, la nivel maxim; </w:t>
      </w:r>
    </w:p>
    <w:p w:rsidR="00A4510F" w:rsidRPr="00A4510F" w:rsidRDefault="0048075E" w:rsidP="00A4510F">
      <w:pPr>
        <w:jc w:val="both"/>
        <w:rPr>
          <w:rFonts w:ascii="Times New Roman" w:hAnsi="Times New Roman"/>
          <w:sz w:val="24"/>
          <w:szCs w:val="24"/>
        </w:rPr>
      </w:pPr>
      <w:r w:rsidRPr="00A4510F">
        <w:rPr>
          <w:rFonts w:ascii="Times New Roman" w:hAnsi="Times New Roman"/>
          <w:sz w:val="24"/>
          <w:szCs w:val="24"/>
        </w:rPr>
        <w:t xml:space="preserve">• Pentru funcțiile de execuție, coeficienții diferă în funcție de categorie, clasă, grad profesional, grad/treaptă și vechimea în muncă; </w:t>
      </w:r>
    </w:p>
    <w:p w:rsidR="00A4510F" w:rsidRDefault="0048075E" w:rsidP="00A4510F">
      <w:pPr>
        <w:jc w:val="both"/>
        <w:rPr>
          <w:rFonts w:ascii="Times New Roman" w:hAnsi="Times New Roman"/>
          <w:sz w:val="24"/>
          <w:szCs w:val="24"/>
        </w:rPr>
      </w:pPr>
      <w:r w:rsidRPr="00A4510F">
        <w:rPr>
          <w:rFonts w:ascii="Times New Roman" w:hAnsi="Times New Roman"/>
          <w:sz w:val="24"/>
          <w:szCs w:val="24"/>
        </w:rPr>
        <w:t xml:space="preserve">• Tranșele de vechime în muncă în funcție de care se acordă cele 5 gradații, precum şi cotele procentuale corespunzătoare acestora sunt stabilite tot de Legea 153/2017, astfel: </w:t>
      </w:r>
    </w:p>
    <w:tbl>
      <w:tblPr>
        <w:tblStyle w:val="TableGrid"/>
        <w:tblW w:w="0" w:type="auto"/>
        <w:tblLook w:val="04A0"/>
      </w:tblPr>
      <w:tblGrid>
        <w:gridCol w:w="3521"/>
        <w:gridCol w:w="3521"/>
        <w:gridCol w:w="3522"/>
      </w:tblGrid>
      <w:tr w:rsidR="00A4510F" w:rsidTr="00A4510F">
        <w:tc>
          <w:tcPr>
            <w:tcW w:w="3521" w:type="dxa"/>
          </w:tcPr>
          <w:p w:rsidR="00A4510F" w:rsidRDefault="00A4510F" w:rsidP="00A4510F">
            <w:pPr>
              <w:jc w:val="both"/>
              <w:rPr>
                <w:rFonts w:ascii="Times New Roman" w:hAnsi="Times New Roman"/>
                <w:sz w:val="24"/>
                <w:szCs w:val="24"/>
              </w:rPr>
            </w:pPr>
            <w:r w:rsidRPr="00A4510F">
              <w:rPr>
                <w:rFonts w:ascii="Times New Roman" w:hAnsi="Times New Roman"/>
                <w:sz w:val="24"/>
                <w:szCs w:val="24"/>
              </w:rPr>
              <w:lastRenderedPageBreak/>
              <w:t>Tranșă vechime</w:t>
            </w:r>
          </w:p>
        </w:tc>
        <w:tc>
          <w:tcPr>
            <w:tcW w:w="3521" w:type="dxa"/>
          </w:tcPr>
          <w:p w:rsidR="00A4510F" w:rsidRDefault="00A4510F" w:rsidP="00A4510F">
            <w:pPr>
              <w:jc w:val="both"/>
              <w:rPr>
                <w:rFonts w:ascii="Times New Roman" w:hAnsi="Times New Roman"/>
                <w:sz w:val="24"/>
                <w:szCs w:val="24"/>
              </w:rPr>
            </w:pPr>
            <w:r w:rsidRPr="00A4510F">
              <w:rPr>
                <w:rFonts w:ascii="Times New Roman" w:hAnsi="Times New Roman"/>
                <w:sz w:val="24"/>
                <w:szCs w:val="24"/>
              </w:rPr>
              <w:t>Gradație</w:t>
            </w:r>
          </w:p>
        </w:tc>
        <w:tc>
          <w:tcPr>
            <w:tcW w:w="3522" w:type="dxa"/>
          </w:tcPr>
          <w:p w:rsidR="00A4510F" w:rsidRDefault="00A4510F" w:rsidP="00A4510F">
            <w:pPr>
              <w:jc w:val="both"/>
              <w:rPr>
                <w:rFonts w:ascii="Times New Roman" w:hAnsi="Times New Roman"/>
                <w:sz w:val="24"/>
                <w:szCs w:val="24"/>
              </w:rPr>
            </w:pPr>
            <w:r w:rsidRPr="00A4510F">
              <w:rPr>
                <w:rFonts w:ascii="Times New Roman" w:hAnsi="Times New Roman"/>
                <w:sz w:val="24"/>
                <w:szCs w:val="24"/>
              </w:rPr>
              <w:t>Cotă procentuală</w:t>
            </w:r>
          </w:p>
        </w:tc>
      </w:tr>
      <w:tr w:rsidR="00A4510F" w:rsidTr="00A4510F">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De la 0 la 3 ani</w:t>
            </w:r>
          </w:p>
        </w:tc>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Gradația 0</w:t>
            </w:r>
          </w:p>
        </w:tc>
        <w:tc>
          <w:tcPr>
            <w:tcW w:w="3522" w:type="dxa"/>
          </w:tcPr>
          <w:p w:rsidR="00A4510F" w:rsidRDefault="008D49B1" w:rsidP="00A4510F">
            <w:pPr>
              <w:jc w:val="both"/>
              <w:rPr>
                <w:rFonts w:ascii="Times New Roman" w:hAnsi="Times New Roman"/>
                <w:sz w:val="24"/>
                <w:szCs w:val="24"/>
              </w:rPr>
            </w:pPr>
            <w:r>
              <w:rPr>
                <w:rFonts w:ascii="Times New Roman" w:hAnsi="Times New Roman"/>
                <w:sz w:val="24"/>
                <w:szCs w:val="24"/>
              </w:rPr>
              <w:t>-</w:t>
            </w:r>
          </w:p>
        </w:tc>
      </w:tr>
      <w:tr w:rsidR="00A4510F" w:rsidTr="00A4510F">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De la 3 la 5 ani</w:t>
            </w:r>
          </w:p>
        </w:tc>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Gradația 1</w:t>
            </w:r>
          </w:p>
        </w:tc>
        <w:tc>
          <w:tcPr>
            <w:tcW w:w="3522"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7,5% x coeficient Gradația 0</w:t>
            </w:r>
          </w:p>
        </w:tc>
      </w:tr>
      <w:tr w:rsidR="00A4510F" w:rsidTr="00A4510F">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De la 5 la 10 ani</w:t>
            </w:r>
          </w:p>
        </w:tc>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Gradația 2</w:t>
            </w:r>
          </w:p>
        </w:tc>
        <w:tc>
          <w:tcPr>
            <w:tcW w:w="3522" w:type="dxa"/>
          </w:tcPr>
          <w:p w:rsidR="00A4510F" w:rsidRDefault="008D49B1" w:rsidP="00A4510F">
            <w:pPr>
              <w:jc w:val="both"/>
              <w:rPr>
                <w:rFonts w:ascii="Times New Roman" w:hAnsi="Times New Roman"/>
                <w:sz w:val="24"/>
                <w:szCs w:val="24"/>
              </w:rPr>
            </w:pPr>
            <w:r>
              <w:rPr>
                <w:rFonts w:ascii="Times New Roman" w:hAnsi="Times New Roman"/>
                <w:sz w:val="24"/>
                <w:szCs w:val="24"/>
              </w:rPr>
              <w:t>5</w:t>
            </w:r>
            <w:r w:rsidRPr="00A4510F">
              <w:rPr>
                <w:rFonts w:ascii="Times New Roman" w:hAnsi="Times New Roman"/>
                <w:sz w:val="24"/>
                <w:szCs w:val="24"/>
              </w:rPr>
              <w:t>% x coeficient Gradația 1</w:t>
            </w:r>
          </w:p>
        </w:tc>
      </w:tr>
      <w:tr w:rsidR="00A4510F" w:rsidTr="00A4510F">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De la 10 la 15 ani</w:t>
            </w:r>
          </w:p>
        </w:tc>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Gradația 3</w:t>
            </w:r>
          </w:p>
        </w:tc>
        <w:tc>
          <w:tcPr>
            <w:tcW w:w="3522"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5% x coeficient Gradația 2</w:t>
            </w:r>
          </w:p>
        </w:tc>
      </w:tr>
      <w:tr w:rsidR="00A4510F" w:rsidTr="00A4510F">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De la 15 la 20 ani</w:t>
            </w:r>
          </w:p>
        </w:tc>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Gradația 4</w:t>
            </w:r>
          </w:p>
        </w:tc>
        <w:tc>
          <w:tcPr>
            <w:tcW w:w="3522"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2,5% x coeficient Gradația 3</w:t>
            </w:r>
          </w:p>
        </w:tc>
      </w:tr>
      <w:tr w:rsidR="00A4510F" w:rsidTr="00A4510F">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Peste 20 ani</w:t>
            </w:r>
          </w:p>
        </w:tc>
        <w:tc>
          <w:tcPr>
            <w:tcW w:w="3521"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Gradația 5</w:t>
            </w:r>
          </w:p>
        </w:tc>
        <w:tc>
          <w:tcPr>
            <w:tcW w:w="3522" w:type="dxa"/>
          </w:tcPr>
          <w:p w:rsidR="00A4510F" w:rsidRDefault="008D49B1" w:rsidP="00A4510F">
            <w:pPr>
              <w:jc w:val="both"/>
              <w:rPr>
                <w:rFonts w:ascii="Times New Roman" w:hAnsi="Times New Roman"/>
                <w:sz w:val="24"/>
                <w:szCs w:val="24"/>
              </w:rPr>
            </w:pPr>
            <w:r w:rsidRPr="00A4510F">
              <w:rPr>
                <w:rFonts w:ascii="Times New Roman" w:hAnsi="Times New Roman"/>
                <w:sz w:val="24"/>
                <w:szCs w:val="24"/>
              </w:rPr>
              <w:t>2,5% x coeficient Gradația 4</w:t>
            </w:r>
          </w:p>
        </w:tc>
      </w:tr>
    </w:tbl>
    <w:p w:rsidR="00A4510F" w:rsidRDefault="00A4510F" w:rsidP="00A4510F">
      <w:pPr>
        <w:jc w:val="both"/>
        <w:rPr>
          <w:rFonts w:ascii="Times New Roman" w:hAnsi="Times New Roman"/>
          <w:sz w:val="24"/>
          <w:szCs w:val="24"/>
        </w:rPr>
      </w:pPr>
    </w:p>
    <w:p w:rsidR="008D49B1" w:rsidRDefault="008D49B1"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Astfel, potrivit prevederilor art.11 din Legea nr.153/2017, pentru funcționarii publici și personalul contractual din cadrul familiei ocupaționale «Administrație» din </w:t>
      </w:r>
      <w:r w:rsidR="00FC39AA">
        <w:rPr>
          <w:rFonts w:ascii="Times New Roman" w:hAnsi="Times New Roman"/>
          <w:sz w:val="24"/>
          <w:szCs w:val="24"/>
        </w:rPr>
        <w:t>Direcț</w:t>
      </w:r>
      <w:r w:rsidR="00D15AF2">
        <w:rPr>
          <w:rFonts w:ascii="Times New Roman" w:hAnsi="Times New Roman"/>
          <w:sz w:val="24"/>
          <w:szCs w:val="24"/>
        </w:rPr>
        <w:t>ia de Asistență Socială a Municipiului Timișoara</w:t>
      </w:r>
      <w:r w:rsidR="0048075E" w:rsidRPr="00A4510F">
        <w:rPr>
          <w:rFonts w:ascii="Times New Roman" w:hAnsi="Times New Roman"/>
          <w:sz w:val="24"/>
          <w:szCs w:val="24"/>
        </w:rPr>
        <w:t>, salariile de bază se stabilesc prin hotărâre a consiliulu</w:t>
      </w:r>
      <w:r w:rsidR="00D15AF2">
        <w:rPr>
          <w:rFonts w:ascii="Times New Roman" w:hAnsi="Times New Roman"/>
          <w:sz w:val="24"/>
          <w:szCs w:val="24"/>
        </w:rPr>
        <w:t>i local</w:t>
      </w:r>
      <w:r w:rsidR="0048075E" w:rsidRPr="00A4510F">
        <w:rPr>
          <w:rFonts w:ascii="Times New Roman" w:hAnsi="Times New Roman"/>
          <w:sz w:val="24"/>
          <w:szCs w:val="24"/>
        </w:rPr>
        <w:t xml:space="preserve">, fără a depăși nivelul indemnizației lunare a funcției de viceprimar, exclusiv majorările prevăzute la art. 16 alin. (2) din Legea nr.153/2017. </w:t>
      </w:r>
    </w:p>
    <w:p w:rsidR="008D49B1" w:rsidRDefault="008D49B1"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Prin Decizia nr. 370/2020, Curtea Constituțională a arătat că marja de apreciere a autorităților administrației publice locale nu este nelimitată, ci aceasta se exercită cu încadrarea între limitele minime și maxime prevăzute prin lege pentru drepturile salariale. Limita minimă este așa cum am văzut salariul minim brut pe țară garantat în plată, iar limita maximă este indemnizația viceprimarului. </w:t>
      </w:r>
    </w:p>
    <w:p w:rsidR="00A4510F" w:rsidRPr="00A4510F" w:rsidRDefault="008D49B1"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Comisia pentru aplicarea unitară a prevederilor legale aplicabile în activitatea Curții de Conturi apreciază că autoritățile administrației publice locale au, așadar, dreptul de decizie referitor la stabilirea salariului de bază al acestor categorii de personal din sistemul bugetar, condiția impusă de legiuitor personalului din administrația publică locală fiind ca nivelul veniturilor salariale reglementate conform art.11 alin.1 și 3 din Legea nr.153/2017, respectiv salariul lunar, să se stabilească fără a depăși nivelul indemnizației lunare a viceprimarilor unității administrativ-teritoriale. </w:t>
      </w:r>
    </w:p>
    <w:p w:rsidR="00937ACC" w:rsidRDefault="008D49B1" w:rsidP="00937ACC">
      <w:pPr>
        <w:spacing w:after="0" w:line="240" w:lineRule="auto"/>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În ceea ce privește raportarea la indemnizația lunară a funcției de viceprimar a unității administrativ teritoriale, trebuie avute în vedere prevederile art.38 alin.(3) lit.f) din Legea-cadru nr.153/2017, art.I alin.(2) din OUG nr.130/2021, art.I alin.(2) din OUG nr.226/2020 și art.34 alin.(7) din OUG nr.114/2008, astfel: </w:t>
      </w:r>
    </w:p>
    <w:p w:rsidR="008D49B1" w:rsidRDefault="0048075E" w:rsidP="00937ACC">
      <w:pPr>
        <w:spacing w:after="0" w:line="240" w:lineRule="auto"/>
        <w:jc w:val="both"/>
        <w:rPr>
          <w:rFonts w:ascii="Times New Roman" w:hAnsi="Times New Roman"/>
          <w:sz w:val="24"/>
          <w:szCs w:val="24"/>
        </w:rPr>
      </w:pPr>
      <w:r w:rsidRPr="00A4510F">
        <w:rPr>
          <w:rFonts w:ascii="Times New Roman" w:hAnsi="Times New Roman"/>
          <w:sz w:val="24"/>
          <w:szCs w:val="24"/>
        </w:rPr>
        <w:t>- art.38 alin.(3) lit.f) din Legea-cadru nr.153/2017: începând cu data de 1 ianuarie 2018 se acordă următoarele creșteri salariale indemnizațiile lunare pentru funcțiile de demnitate publică prevăzute în anexa nr. IX se stabilesc pe baza coeficienților și a salariului de bază minim brut pe țară garantat în plată;</w:t>
      </w:r>
    </w:p>
    <w:p w:rsidR="00937ACC" w:rsidRDefault="0048075E" w:rsidP="00A4510F">
      <w:pPr>
        <w:jc w:val="both"/>
        <w:rPr>
          <w:rFonts w:ascii="Times New Roman" w:hAnsi="Times New Roman"/>
          <w:sz w:val="24"/>
          <w:szCs w:val="24"/>
        </w:rPr>
      </w:pPr>
      <w:r w:rsidRPr="00A4510F">
        <w:rPr>
          <w:rFonts w:ascii="Times New Roman" w:hAnsi="Times New Roman"/>
          <w:sz w:val="24"/>
          <w:szCs w:val="24"/>
        </w:rPr>
        <w:t xml:space="preserve"> </w:t>
      </w:r>
    </w:p>
    <w:p w:rsidR="00937ACC" w:rsidRDefault="00937ACC" w:rsidP="00937ACC">
      <w:pPr>
        <w:jc w:val="right"/>
        <w:rPr>
          <w:rFonts w:ascii="Times New Roman" w:hAnsi="Times New Roman"/>
          <w:sz w:val="24"/>
          <w:szCs w:val="24"/>
        </w:rPr>
      </w:pPr>
      <w:r>
        <w:t>Cod FO53-03,Ver.3</w:t>
      </w:r>
    </w:p>
    <w:p w:rsidR="008D49B1" w:rsidRDefault="0048075E" w:rsidP="00A4510F">
      <w:pPr>
        <w:jc w:val="both"/>
        <w:rPr>
          <w:rFonts w:ascii="Times New Roman" w:hAnsi="Times New Roman"/>
          <w:sz w:val="24"/>
          <w:szCs w:val="24"/>
        </w:rPr>
      </w:pPr>
      <w:r w:rsidRPr="00A4510F">
        <w:rPr>
          <w:rFonts w:ascii="Times New Roman" w:hAnsi="Times New Roman"/>
          <w:sz w:val="24"/>
          <w:szCs w:val="24"/>
        </w:rPr>
        <w:lastRenderedPageBreak/>
        <w:t xml:space="preserve">- art.34 alin.(7) din OUG nr.114/2008: prin derogare de la prevederile art. 38 alin. (3) lit. f) din Legea-cadru nr. 153/2017 privind salarizarea personalului plătit din fonduri publice, cu modificările și completările ulterioare, în anul 2020, începând cu drepturile aferente lunii ianuarie 2020, indemnizațiile lunare pentru funcțiile de demnitate publică și funcțiile asimilate acestora, prevăzute în anexa nr. IX la Legea-cadru nr. 153/2017, cu modificările și completările ulterioare, se mențin la nivelul aferent lunii decembrie 2019; </w:t>
      </w:r>
    </w:p>
    <w:p w:rsidR="008D49B1" w:rsidRDefault="0048075E" w:rsidP="00A4510F">
      <w:pPr>
        <w:jc w:val="both"/>
        <w:rPr>
          <w:rFonts w:ascii="Times New Roman" w:hAnsi="Times New Roman"/>
          <w:sz w:val="24"/>
          <w:szCs w:val="24"/>
        </w:rPr>
      </w:pPr>
      <w:r w:rsidRPr="00A4510F">
        <w:rPr>
          <w:rFonts w:ascii="Times New Roman" w:hAnsi="Times New Roman"/>
          <w:sz w:val="24"/>
          <w:szCs w:val="24"/>
        </w:rPr>
        <w:t xml:space="preserve">- art.I alin.(2) din OUG nr.226/2020: prin derogare de la prevederile art. 38 alin. (3) lit. f) din Legea-cadru nr. 153/2017, cu modificările și completările ulterioare, în anul 2021, începând cu drepturile aferente lunii ianuarie, indemnizațiile lunare pentru funcțiile de demnitate publică și funcțiile asimilate acestora, prevăzute în anexa nr. IX la Legea-cadru nr. 153/2017, cu modificările și completările ulterioare, se mențin la nivelul aferent lunii decembrie 2020; </w:t>
      </w:r>
    </w:p>
    <w:p w:rsidR="008D49B1" w:rsidRDefault="0048075E" w:rsidP="00A4510F">
      <w:pPr>
        <w:jc w:val="both"/>
        <w:rPr>
          <w:rFonts w:ascii="Times New Roman" w:hAnsi="Times New Roman"/>
          <w:sz w:val="24"/>
          <w:szCs w:val="24"/>
        </w:rPr>
      </w:pPr>
      <w:r w:rsidRPr="00A4510F">
        <w:rPr>
          <w:rFonts w:ascii="Times New Roman" w:hAnsi="Times New Roman"/>
          <w:sz w:val="24"/>
          <w:szCs w:val="24"/>
        </w:rPr>
        <w:t xml:space="preserve">- art. I alin. (2) din OUG nr. 130/2021: prin derogare de la prevederile art. 38 alin. (3) lit. f) din Legea-cadru nr. 153/2017, cu modificările și completările ulterioare, în anul 2022, începând cu data de 1 ianuarie, indemnizațiile lunare pentru funcțiile de demnitate publică și funcțiile asimilate acestora, prevăzute în anexa nr. IX la Legea-cadru nr. 153/2017, cu modificările și completările ulterioare, se mențin la nivelul aferent lunii decembrie 2021. </w:t>
      </w:r>
    </w:p>
    <w:p w:rsidR="008D49B1" w:rsidRDefault="008D49B1"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Prin plafonarea anuală repetată a indemnizației viceprimarului, rezultă că la determinarea acesteia, este folosit salariul minim brut pe țară garantat în plată stabilit pentru anul 2019. </w:t>
      </w:r>
    </w:p>
    <w:p w:rsidR="000E6422" w:rsidRPr="000E6422" w:rsidRDefault="008D49B1"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Prin prezentul proiect, pentru </w:t>
      </w:r>
      <w:r w:rsidR="001B1985">
        <w:rPr>
          <w:rFonts w:ascii="Times New Roman" w:hAnsi="Times New Roman"/>
          <w:sz w:val="24"/>
          <w:szCs w:val="24"/>
        </w:rPr>
        <w:t>f</w:t>
      </w:r>
      <w:r w:rsidR="001B1985" w:rsidRPr="00A4510F">
        <w:rPr>
          <w:rFonts w:ascii="Times New Roman" w:hAnsi="Times New Roman"/>
          <w:sz w:val="24"/>
          <w:szCs w:val="24"/>
        </w:rPr>
        <w:t>uncționarii publici și personalul contractual din cadrul familiei ocupaționale «Administrație»</w:t>
      </w:r>
      <w:r w:rsidR="0048075E" w:rsidRPr="00A4510F">
        <w:rPr>
          <w:rFonts w:ascii="Times New Roman" w:hAnsi="Times New Roman"/>
          <w:sz w:val="24"/>
          <w:szCs w:val="24"/>
        </w:rPr>
        <w:t xml:space="preserve"> din cadrul </w:t>
      </w:r>
      <w:r w:rsidR="00224387">
        <w:rPr>
          <w:rFonts w:ascii="Times New Roman" w:hAnsi="Times New Roman"/>
          <w:sz w:val="24"/>
          <w:szCs w:val="24"/>
        </w:rPr>
        <w:t>Direcției de Asistență Socială a</w:t>
      </w:r>
      <w:r w:rsidR="0048075E" w:rsidRPr="00A4510F">
        <w:rPr>
          <w:rFonts w:ascii="Times New Roman" w:hAnsi="Times New Roman"/>
          <w:sz w:val="24"/>
          <w:szCs w:val="24"/>
        </w:rPr>
        <w:t xml:space="preserve"> Municipiului Timișoara, salariile de bază se vor stabili prin înmulțirea coeficienților de ierarhizare a posturilor cu salariul de bază minim brut pe țară garantat în plată, utilizat la determinarea </w:t>
      </w:r>
      <w:r>
        <w:rPr>
          <w:rFonts w:ascii="Times New Roman" w:hAnsi="Times New Roman"/>
          <w:sz w:val="24"/>
          <w:szCs w:val="24"/>
        </w:rPr>
        <w:t>indemnizației viceprimarului</w:t>
      </w:r>
      <w:r w:rsidR="000E6422">
        <w:rPr>
          <w:rFonts w:ascii="Times New Roman" w:hAnsi="Times New Roman"/>
          <w:sz w:val="24"/>
          <w:szCs w:val="24"/>
        </w:rPr>
        <w:t xml:space="preserve">, </w:t>
      </w:r>
      <w:r w:rsidR="000E6422" w:rsidRPr="000E6422">
        <w:rPr>
          <w:rFonts w:ascii="Times New Roman" w:hAnsi="Times New Roman"/>
          <w:sz w:val="24"/>
          <w:szCs w:val="24"/>
        </w:rPr>
        <w:t>conform anexei parte integrantă din prezentul referat</w:t>
      </w:r>
      <w:r w:rsidRPr="000E6422">
        <w:rPr>
          <w:rFonts w:ascii="Times New Roman" w:hAnsi="Times New Roman"/>
          <w:sz w:val="24"/>
          <w:szCs w:val="24"/>
        </w:rPr>
        <w:t xml:space="preserve">. </w:t>
      </w:r>
    </w:p>
    <w:p w:rsidR="00A4510F" w:rsidRPr="00A4510F" w:rsidRDefault="000E6422"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Comisia pentru aplicarea unitară a prevederilor legale aplicabile în activitatea Curții de Conturi apreciază că pentru funcționarii publici și personalul contractual din cadrul familiei ocupaționale «Administrație» din aparatul propriu al primarului, din instituțiile și serviciile publice de interes local nu sunt incidente prevederile art.I alin(1) din OUG nr.130/2021 . </w:t>
      </w:r>
    </w:p>
    <w:p w:rsidR="008D49B1" w:rsidRPr="00007414" w:rsidRDefault="00D15AF2" w:rsidP="00A4510F">
      <w:pPr>
        <w:jc w:val="both"/>
        <w:rPr>
          <w:rFonts w:ascii="Times New Roman" w:hAnsi="Times New Roman"/>
          <w:b/>
          <w:sz w:val="24"/>
          <w:szCs w:val="24"/>
          <w:u w:val="single"/>
        </w:rPr>
      </w:pPr>
      <w:r w:rsidRPr="006D43D8">
        <w:rPr>
          <w:rFonts w:ascii="Times New Roman" w:hAnsi="Times New Roman"/>
          <w:b/>
          <w:sz w:val="24"/>
          <w:szCs w:val="24"/>
        </w:rPr>
        <w:tab/>
      </w:r>
      <w:r w:rsidR="0048075E" w:rsidRPr="00007414">
        <w:rPr>
          <w:rFonts w:ascii="Times New Roman" w:hAnsi="Times New Roman"/>
          <w:b/>
          <w:sz w:val="24"/>
          <w:szCs w:val="24"/>
          <w:u w:val="single"/>
        </w:rPr>
        <w:t xml:space="preserve">Schimbări preconizate şi rezultate aşteptate </w:t>
      </w:r>
    </w:p>
    <w:p w:rsidR="00007414" w:rsidRDefault="00D15AF2"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Schimbările preconizate sunt, pe de o parte, de respectare a prevederilor legale privind stabilirea salariilor de bază prin raportare la coeficienții de ierarhizare a posturilor pentru </w:t>
      </w:r>
      <w:r w:rsidR="001B1985">
        <w:rPr>
          <w:rFonts w:ascii="Times New Roman" w:hAnsi="Times New Roman"/>
          <w:sz w:val="24"/>
          <w:szCs w:val="24"/>
        </w:rPr>
        <w:t>f</w:t>
      </w:r>
      <w:r w:rsidR="001B1985" w:rsidRPr="00A4510F">
        <w:rPr>
          <w:rFonts w:ascii="Times New Roman" w:hAnsi="Times New Roman"/>
          <w:sz w:val="24"/>
          <w:szCs w:val="24"/>
        </w:rPr>
        <w:t>uncționarii publici și personalul contractual din cadrul familiei ocupaționale «Administrație»</w:t>
      </w:r>
      <w:r w:rsidR="0048075E" w:rsidRPr="00A4510F">
        <w:rPr>
          <w:rFonts w:ascii="Times New Roman" w:hAnsi="Times New Roman"/>
          <w:sz w:val="24"/>
          <w:szCs w:val="24"/>
        </w:rPr>
        <w:t xml:space="preserve"> din cadrul </w:t>
      </w:r>
      <w:r w:rsidR="001E3B78">
        <w:rPr>
          <w:rFonts w:ascii="Times New Roman" w:hAnsi="Times New Roman"/>
          <w:sz w:val="24"/>
          <w:szCs w:val="24"/>
        </w:rPr>
        <w:t xml:space="preserve">Direcției de Asistență Socială a </w:t>
      </w:r>
      <w:r w:rsidR="0048075E" w:rsidRPr="00A4510F">
        <w:rPr>
          <w:rFonts w:ascii="Times New Roman" w:hAnsi="Times New Roman"/>
          <w:sz w:val="24"/>
          <w:szCs w:val="24"/>
        </w:rPr>
        <w:t xml:space="preserve">Municipiului Timișoara si acoperirea deprecierii inflaționiste aferente perioadei 2018-2022, iar pe de cealaltă parte de ajustare a ecartului salarial existent între funcțiile publice teritoriale și locale care determină ”migrația” forței de muncă. </w:t>
      </w:r>
    </w:p>
    <w:p w:rsidR="00937ACC" w:rsidRDefault="00937ACC" w:rsidP="00A4510F">
      <w:pPr>
        <w:jc w:val="both"/>
        <w:rPr>
          <w:rFonts w:ascii="Times New Roman" w:hAnsi="Times New Roman"/>
          <w:sz w:val="24"/>
          <w:szCs w:val="24"/>
        </w:rPr>
      </w:pPr>
    </w:p>
    <w:p w:rsidR="00A4510F" w:rsidRPr="00007414" w:rsidRDefault="006D43D8" w:rsidP="00A4510F">
      <w:pPr>
        <w:jc w:val="both"/>
        <w:rPr>
          <w:rFonts w:ascii="Times New Roman" w:hAnsi="Times New Roman"/>
          <w:b/>
          <w:sz w:val="24"/>
          <w:szCs w:val="24"/>
          <w:u w:val="single"/>
        </w:rPr>
      </w:pPr>
      <w:r>
        <w:rPr>
          <w:rFonts w:ascii="Times New Roman" w:hAnsi="Times New Roman"/>
          <w:sz w:val="24"/>
          <w:szCs w:val="24"/>
        </w:rPr>
        <w:tab/>
      </w:r>
      <w:r w:rsidR="0048075E" w:rsidRPr="00A4510F">
        <w:rPr>
          <w:rFonts w:ascii="Times New Roman" w:hAnsi="Times New Roman"/>
          <w:sz w:val="24"/>
          <w:szCs w:val="24"/>
        </w:rPr>
        <w:t xml:space="preserve"> </w:t>
      </w:r>
      <w:r w:rsidR="0048075E" w:rsidRPr="00007414">
        <w:rPr>
          <w:rFonts w:ascii="Times New Roman" w:hAnsi="Times New Roman"/>
          <w:b/>
          <w:sz w:val="24"/>
          <w:szCs w:val="24"/>
          <w:u w:val="single"/>
        </w:rPr>
        <w:t xml:space="preserve">Alte informatii </w:t>
      </w:r>
    </w:p>
    <w:p w:rsidR="00A4510F" w:rsidRPr="00A4510F" w:rsidRDefault="001B1985"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Gestionarea sistemului de salarizare a personalului din instituțiile și autoritățile publice se asigură de fiecare ordonator de credite. </w:t>
      </w:r>
    </w:p>
    <w:p w:rsidR="00A4510F" w:rsidRPr="00007414" w:rsidRDefault="00D15AF2" w:rsidP="00A4510F">
      <w:pPr>
        <w:jc w:val="both"/>
        <w:rPr>
          <w:rFonts w:ascii="Times New Roman" w:hAnsi="Times New Roman"/>
          <w:b/>
          <w:sz w:val="24"/>
          <w:szCs w:val="24"/>
          <w:u w:val="single"/>
        </w:rPr>
      </w:pPr>
      <w:r w:rsidRPr="00D15AF2">
        <w:rPr>
          <w:rFonts w:ascii="Times New Roman" w:hAnsi="Times New Roman"/>
          <w:b/>
          <w:sz w:val="24"/>
          <w:szCs w:val="24"/>
        </w:rPr>
        <w:tab/>
      </w:r>
      <w:r w:rsidR="0048075E" w:rsidRPr="00007414">
        <w:rPr>
          <w:rFonts w:ascii="Times New Roman" w:hAnsi="Times New Roman"/>
          <w:b/>
          <w:sz w:val="24"/>
          <w:szCs w:val="24"/>
          <w:u w:val="single"/>
        </w:rPr>
        <w:t xml:space="preserve">Concluzii </w:t>
      </w:r>
    </w:p>
    <w:p w:rsidR="00BD2CFC" w:rsidRDefault="00BD2CFC"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Propunem </w:t>
      </w:r>
      <w:r w:rsidR="00FC39AA" w:rsidRPr="00A4510F">
        <w:rPr>
          <w:rFonts w:ascii="Times New Roman" w:hAnsi="Times New Roman"/>
          <w:sz w:val="24"/>
          <w:szCs w:val="24"/>
        </w:rPr>
        <w:t>stabilirea salariilor de bază pentru funcționarii publici și personalul contractual din cadrul familiei ocupaționale «Administrație»</w:t>
      </w:r>
      <w:r w:rsidR="00FC39AA">
        <w:rPr>
          <w:rFonts w:ascii="Times New Roman" w:hAnsi="Times New Roman"/>
          <w:sz w:val="24"/>
          <w:szCs w:val="24"/>
        </w:rPr>
        <w:t xml:space="preserve"> </w:t>
      </w:r>
      <w:r w:rsidR="00FC39AA" w:rsidRPr="00A4510F">
        <w:rPr>
          <w:rFonts w:ascii="Times New Roman" w:hAnsi="Times New Roman"/>
          <w:sz w:val="24"/>
          <w:szCs w:val="24"/>
        </w:rPr>
        <w:t xml:space="preserve">din cadrul Direcției de Asistență Sociala a Municipiului  Timișoara </w:t>
      </w:r>
      <w:r w:rsidR="0048075E" w:rsidRPr="00A4510F">
        <w:rPr>
          <w:rFonts w:ascii="Times New Roman" w:hAnsi="Times New Roman"/>
          <w:sz w:val="24"/>
          <w:szCs w:val="24"/>
        </w:rPr>
        <w:t>prin înmulțirea coeficienților de ierarhizare a posturilor cu salariul de bază minim brut pe țară garantat în plată utilizat la determinarea indemnizației viceprimarului,</w:t>
      </w:r>
      <w:r w:rsidR="004B66DA">
        <w:rPr>
          <w:rFonts w:ascii="Times New Roman" w:hAnsi="Times New Roman"/>
          <w:sz w:val="24"/>
          <w:szCs w:val="24"/>
        </w:rPr>
        <w:t xml:space="preserve"> începând cu data de 01.07.2022,</w:t>
      </w:r>
      <w:r w:rsidR="0048075E" w:rsidRPr="00A4510F">
        <w:rPr>
          <w:rFonts w:ascii="Times New Roman" w:hAnsi="Times New Roman"/>
          <w:sz w:val="24"/>
          <w:szCs w:val="24"/>
        </w:rPr>
        <w:t xml:space="preserve"> conform anexei parte integrantă din prezentul referat. </w:t>
      </w:r>
    </w:p>
    <w:p w:rsidR="000468F9" w:rsidRDefault="00BD2CFC" w:rsidP="00A4510F">
      <w:pPr>
        <w:jc w:val="both"/>
        <w:rPr>
          <w:rFonts w:ascii="Times New Roman" w:hAnsi="Times New Roman"/>
          <w:sz w:val="24"/>
          <w:szCs w:val="24"/>
        </w:rPr>
      </w:pPr>
      <w:r>
        <w:rPr>
          <w:rFonts w:ascii="Times New Roman" w:hAnsi="Times New Roman"/>
          <w:sz w:val="24"/>
          <w:szCs w:val="24"/>
        </w:rPr>
        <w:tab/>
      </w:r>
      <w:r w:rsidR="0048075E" w:rsidRPr="00A4510F">
        <w:rPr>
          <w:rFonts w:ascii="Times New Roman" w:hAnsi="Times New Roman"/>
          <w:sz w:val="24"/>
          <w:szCs w:val="24"/>
        </w:rPr>
        <w:t xml:space="preserve">Ținând cont de cele enumerate mai sus, apreciez ca fiind oportună promovarea prezentului proiect de hotărâre și supun dezbaterii Consiliului Local, documentația aferentă. </w:t>
      </w:r>
    </w:p>
    <w:p w:rsidR="000468F9" w:rsidRDefault="000468F9" w:rsidP="00A4510F">
      <w:pPr>
        <w:jc w:val="both"/>
        <w:rPr>
          <w:rFonts w:ascii="Times New Roman" w:hAnsi="Times New Roman"/>
          <w:sz w:val="24"/>
          <w:szCs w:val="24"/>
        </w:rPr>
      </w:pPr>
    </w:p>
    <w:p w:rsidR="000468F9" w:rsidRDefault="00BD2CFC" w:rsidP="00A4510F">
      <w:pPr>
        <w:jc w:val="both"/>
        <w:rPr>
          <w:rFonts w:ascii="Times New Roman" w:hAnsi="Times New Roman"/>
          <w:sz w:val="24"/>
          <w:szCs w:val="24"/>
        </w:rPr>
      </w:pPr>
      <w:r>
        <w:rPr>
          <w:rFonts w:ascii="Times New Roman" w:hAnsi="Times New Roman"/>
          <w:sz w:val="24"/>
          <w:szCs w:val="24"/>
        </w:rPr>
        <w:t xml:space="preserve">      </w:t>
      </w:r>
      <w:r w:rsidR="0048075E" w:rsidRPr="00A4510F">
        <w:rPr>
          <w:rFonts w:ascii="Times New Roman" w:hAnsi="Times New Roman"/>
          <w:sz w:val="24"/>
          <w:szCs w:val="24"/>
        </w:rPr>
        <w:t xml:space="preserve">PRIMAR, </w:t>
      </w:r>
    </w:p>
    <w:p w:rsidR="000D6E8E" w:rsidRDefault="0048075E" w:rsidP="00A4510F">
      <w:pPr>
        <w:jc w:val="both"/>
        <w:rPr>
          <w:rFonts w:ascii="Times New Roman" w:hAnsi="Times New Roman"/>
          <w:sz w:val="24"/>
          <w:szCs w:val="24"/>
        </w:rPr>
      </w:pPr>
      <w:r w:rsidRPr="00A4510F">
        <w:rPr>
          <w:rFonts w:ascii="Times New Roman" w:hAnsi="Times New Roman"/>
          <w:sz w:val="24"/>
          <w:szCs w:val="24"/>
        </w:rPr>
        <w:t xml:space="preserve">DOMINIC FRITZ </w:t>
      </w:r>
      <w:r w:rsidR="000468F9">
        <w:rPr>
          <w:rFonts w:ascii="Times New Roman" w:hAnsi="Times New Roman"/>
          <w:sz w:val="24"/>
          <w:szCs w:val="24"/>
        </w:rPr>
        <w:t xml:space="preserve">                                                                              DIRECTOR GENERAL,</w:t>
      </w:r>
    </w:p>
    <w:p w:rsidR="000468F9" w:rsidRDefault="000468F9" w:rsidP="00A4510F">
      <w:pPr>
        <w:jc w:val="both"/>
        <w:rPr>
          <w:rFonts w:ascii="Times New Roman" w:hAnsi="Times New Roman"/>
          <w:sz w:val="24"/>
          <w:szCs w:val="24"/>
        </w:rPr>
      </w:pPr>
      <w:r>
        <w:rPr>
          <w:rFonts w:ascii="Times New Roman" w:hAnsi="Times New Roman"/>
          <w:sz w:val="24"/>
          <w:szCs w:val="24"/>
        </w:rPr>
        <w:t xml:space="preserve">                                                                                                               ESZTERO EMESE</w:t>
      </w: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Default="00937ACC" w:rsidP="00A4510F">
      <w:pPr>
        <w:jc w:val="both"/>
        <w:rPr>
          <w:rFonts w:ascii="Times New Roman" w:hAnsi="Times New Roman"/>
          <w:sz w:val="24"/>
          <w:szCs w:val="24"/>
        </w:rPr>
      </w:pPr>
    </w:p>
    <w:p w:rsidR="00937ACC" w:rsidRPr="00A4510F" w:rsidRDefault="00937ACC" w:rsidP="00937ACC">
      <w:pPr>
        <w:jc w:val="right"/>
        <w:rPr>
          <w:rFonts w:ascii="Times New Roman" w:hAnsi="Times New Roman"/>
          <w:sz w:val="24"/>
          <w:szCs w:val="24"/>
        </w:rPr>
      </w:pPr>
      <w:r>
        <w:t>Cod FO53-03,Ver.3</w:t>
      </w:r>
    </w:p>
    <w:sectPr w:rsidR="00937ACC" w:rsidRPr="00A4510F"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98E" w:rsidRDefault="0023698E">
      <w:pPr>
        <w:spacing w:after="0" w:line="240" w:lineRule="auto"/>
      </w:pPr>
      <w:r>
        <w:separator/>
      </w:r>
    </w:p>
  </w:endnote>
  <w:endnote w:type="continuationSeparator" w:id="1">
    <w:p w:rsidR="0023698E" w:rsidRDefault="00236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4B4B0A" w:rsidP="00450A04">
    <w:pPr>
      <w:pStyle w:val="NoSpacing"/>
      <w:ind w:left="-142"/>
      <w:jc w:val="center"/>
      <w:rPr>
        <w:rFonts w:ascii="Times New Roman" w:hAnsi="Times New Roman"/>
      </w:rPr>
    </w:pPr>
    <w:r w:rsidRPr="004B4B0A">
      <w:rPr>
        <w:noProof/>
        <w:lang w:val="en-US" w:eastAsia="en-US"/>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98E" w:rsidRDefault="0023698E">
      <w:pPr>
        <w:spacing w:after="0" w:line="240" w:lineRule="auto"/>
      </w:pPr>
      <w:r>
        <w:separator/>
      </w:r>
    </w:p>
  </w:footnote>
  <w:footnote w:type="continuationSeparator" w:id="1">
    <w:p w:rsidR="0023698E" w:rsidRDefault="002369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4B4B0A" w:rsidRPr="004B4B0A">
      <w:rPr>
        <w:noProof/>
        <w:lang w:val="en-US" w:eastAsia="en-US"/>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2290"/>
    <o:shapelayout v:ext="edit">
      <o:idmap v:ext="edit" data="4"/>
    </o:shapelayout>
  </w:hdrShapeDefaults>
  <w:footnotePr>
    <w:footnote w:id="0"/>
    <w:footnote w:id="1"/>
  </w:footnotePr>
  <w:endnotePr>
    <w:endnote w:id="0"/>
    <w:endnote w:id="1"/>
  </w:endnotePr>
  <w:compat/>
  <w:rsids>
    <w:rsidRoot w:val="00A4510F"/>
    <w:rsid w:val="00007414"/>
    <w:rsid w:val="000468F9"/>
    <w:rsid w:val="00065BD9"/>
    <w:rsid w:val="000A684B"/>
    <w:rsid w:val="000D6E8E"/>
    <w:rsid w:val="000E6422"/>
    <w:rsid w:val="00130E4F"/>
    <w:rsid w:val="001710B7"/>
    <w:rsid w:val="00187F82"/>
    <w:rsid w:val="001B03B3"/>
    <w:rsid w:val="001B1985"/>
    <w:rsid w:val="001B1BFF"/>
    <w:rsid w:val="001C0C2A"/>
    <w:rsid w:val="001E3B78"/>
    <w:rsid w:val="002002FC"/>
    <w:rsid w:val="00224387"/>
    <w:rsid w:val="0023698E"/>
    <w:rsid w:val="0024750F"/>
    <w:rsid w:val="002C6071"/>
    <w:rsid w:val="00426049"/>
    <w:rsid w:val="004349BB"/>
    <w:rsid w:val="00450A04"/>
    <w:rsid w:val="0048075E"/>
    <w:rsid w:val="004B4B0A"/>
    <w:rsid w:val="004B66DA"/>
    <w:rsid w:val="004E277F"/>
    <w:rsid w:val="00545C0D"/>
    <w:rsid w:val="00605DD6"/>
    <w:rsid w:val="006829C5"/>
    <w:rsid w:val="006D43D8"/>
    <w:rsid w:val="006E36DE"/>
    <w:rsid w:val="006F5529"/>
    <w:rsid w:val="00766D19"/>
    <w:rsid w:val="00850914"/>
    <w:rsid w:val="0085648B"/>
    <w:rsid w:val="008B061B"/>
    <w:rsid w:val="008D49B1"/>
    <w:rsid w:val="00937ACC"/>
    <w:rsid w:val="009A3118"/>
    <w:rsid w:val="009A5B8A"/>
    <w:rsid w:val="009C7E4A"/>
    <w:rsid w:val="009E1E76"/>
    <w:rsid w:val="00A279B8"/>
    <w:rsid w:val="00A33FE6"/>
    <w:rsid w:val="00A4510F"/>
    <w:rsid w:val="00AD5E40"/>
    <w:rsid w:val="00AF11A7"/>
    <w:rsid w:val="00AF7665"/>
    <w:rsid w:val="00B2712D"/>
    <w:rsid w:val="00BD2CFC"/>
    <w:rsid w:val="00BD6C4E"/>
    <w:rsid w:val="00C11E7E"/>
    <w:rsid w:val="00CA7B46"/>
    <w:rsid w:val="00CE395B"/>
    <w:rsid w:val="00CE7998"/>
    <w:rsid w:val="00CF7751"/>
    <w:rsid w:val="00D15AF2"/>
    <w:rsid w:val="00D66E42"/>
    <w:rsid w:val="00D7101A"/>
    <w:rsid w:val="00E22B52"/>
    <w:rsid w:val="00EE6751"/>
    <w:rsid w:val="00EE77E8"/>
    <w:rsid w:val="00EF3040"/>
    <w:rsid w:val="00FC39A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table" w:styleId="TableGrid">
    <w:name w:val="Table Grid"/>
    <w:basedOn w:val="TableNormal"/>
    <w:uiPriority w:val="59"/>
    <w:rsid w:val="00A451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48</TotalTime>
  <Pages>5</Pages>
  <Words>1337</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15</cp:revision>
  <cp:lastPrinted>2019-10-09T11:05:00Z</cp:lastPrinted>
  <dcterms:created xsi:type="dcterms:W3CDTF">2022-05-25T07:54:00Z</dcterms:created>
  <dcterms:modified xsi:type="dcterms:W3CDTF">2022-05-26T06:38:00Z</dcterms:modified>
</cp:coreProperties>
</file>