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EB944" w14:textId="77777777" w:rsidR="00F9354F" w:rsidRPr="00F9354F" w:rsidRDefault="00F9354F" w:rsidP="00F9354F">
      <w:pPr>
        <w:jc w:val="both"/>
        <w:rPr>
          <w:b/>
          <w:lang w:val="pt-BR"/>
        </w:rPr>
      </w:pPr>
      <w:r w:rsidRPr="00F9354F">
        <w:rPr>
          <w:b/>
          <w:lang w:val="pt-BR"/>
        </w:rPr>
        <w:t>ROMÂNIA</w:t>
      </w:r>
    </w:p>
    <w:p w14:paraId="2DC63D85" w14:textId="77777777" w:rsidR="00F9354F" w:rsidRPr="00F9354F" w:rsidRDefault="00F9354F" w:rsidP="00F9354F">
      <w:pPr>
        <w:jc w:val="both"/>
        <w:rPr>
          <w:b/>
          <w:lang w:val="pt-BR"/>
        </w:rPr>
      </w:pPr>
      <w:r w:rsidRPr="00F9354F">
        <w:rPr>
          <w:b/>
          <w:lang w:val="pt-BR"/>
        </w:rPr>
        <w:t>JUDETUL TIMIŞ</w:t>
      </w:r>
      <w:r w:rsidRPr="00F9354F">
        <w:rPr>
          <w:b/>
          <w:lang w:val="pt-BR"/>
        </w:rPr>
        <w:tab/>
      </w:r>
      <w:r w:rsidRPr="00F9354F">
        <w:rPr>
          <w:b/>
          <w:lang w:val="pt-BR"/>
        </w:rPr>
        <w:tab/>
      </w:r>
      <w:r w:rsidRPr="00F9354F">
        <w:rPr>
          <w:b/>
          <w:lang w:val="pt-BR"/>
        </w:rPr>
        <w:tab/>
      </w:r>
      <w:r w:rsidRPr="00F9354F">
        <w:rPr>
          <w:b/>
          <w:lang w:val="pt-BR"/>
        </w:rPr>
        <w:tab/>
      </w:r>
      <w:r w:rsidRPr="00F9354F">
        <w:rPr>
          <w:b/>
          <w:lang w:val="pt-BR"/>
        </w:rPr>
        <w:tab/>
      </w:r>
      <w:r w:rsidRPr="00F9354F">
        <w:rPr>
          <w:b/>
          <w:lang w:val="pt-BR"/>
        </w:rPr>
        <w:tab/>
      </w:r>
      <w:r w:rsidRPr="00F9354F">
        <w:rPr>
          <w:b/>
          <w:lang w:val="pt-BR"/>
        </w:rPr>
        <w:tab/>
      </w:r>
    </w:p>
    <w:p w14:paraId="2932ECA9" w14:textId="77777777" w:rsidR="00F9354F" w:rsidRPr="00F9354F" w:rsidRDefault="00F9354F" w:rsidP="00F9354F">
      <w:pPr>
        <w:jc w:val="both"/>
        <w:rPr>
          <w:b/>
          <w:lang w:val="pt-BR"/>
        </w:rPr>
      </w:pPr>
      <w:r w:rsidRPr="00F9354F">
        <w:rPr>
          <w:b/>
          <w:lang w:val="pt-BR"/>
        </w:rPr>
        <w:t>MUNICIPIUL TIMISOARA</w:t>
      </w:r>
    </w:p>
    <w:p w14:paraId="21ADE4F7" w14:textId="77777777" w:rsidR="00F9354F" w:rsidRPr="00F9354F" w:rsidRDefault="00F9354F" w:rsidP="00F9354F">
      <w:pPr>
        <w:jc w:val="both"/>
        <w:rPr>
          <w:b/>
          <w:lang w:val="pt-BR"/>
        </w:rPr>
      </w:pPr>
      <w:r w:rsidRPr="00F9354F">
        <w:rPr>
          <w:b/>
          <w:lang w:val="pt-BR"/>
        </w:rPr>
        <w:t>PRIMAR</w:t>
      </w:r>
    </w:p>
    <w:p w14:paraId="27359BD8" w14:textId="1840B74C" w:rsidR="00F9354F" w:rsidRDefault="00F9354F" w:rsidP="00F9354F">
      <w:pPr>
        <w:rPr>
          <w:color w:val="FF0000"/>
          <w:lang w:val="pt-BR"/>
        </w:rPr>
      </w:pPr>
    </w:p>
    <w:p w14:paraId="4EA86537" w14:textId="77777777" w:rsidR="00F9354F" w:rsidRPr="00F9354F" w:rsidRDefault="00F9354F" w:rsidP="00805783">
      <w:pPr>
        <w:spacing w:after="180" w:line="206" w:lineRule="auto"/>
        <w:rPr>
          <w:b/>
          <w:color w:val="000000"/>
          <w:sz w:val="28"/>
          <w:szCs w:val="28"/>
          <w:u w:val="single"/>
          <w:lang w:val="pt-BR"/>
        </w:rPr>
      </w:pPr>
    </w:p>
    <w:p w14:paraId="2D3FCE37" w14:textId="77777777" w:rsidR="00F9354F" w:rsidRPr="00F9354F" w:rsidRDefault="00F9354F" w:rsidP="00F9354F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  <w:lang w:val="pt-BR"/>
        </w:rPr>
      </w:pPr>
      <w:r w:rsidRPr="00F9354F">
        <w:rPr>
          <w:b/>
          <w:color w:val="000000"/>
          <w:sz w:val="28"/>
          <w:szCs w:val="28"/>
          <w:u w:val="single"/>
          <w:lang w:val="pt-BR"/>
        </w:rPr>
        <w:t>REFERAT DE APROBARE A  PROIECTULUI DE HOTĂRÂRE</w:t>
      </w:r>
    </w:p>
    <w:p w14:paraId="03D6E8A7" w14:textId="77777777" w:rsidR="00F9354F" w:rsidRPr="00F9354F" w:rsidRDefault="00F9354F" w:rsidP="00F9354F">
      <w:pPr>
        <w:spacing w:before="324" w:after="324"/>
        <w:jc w:val="center"/>
        <w:rPr>
          <w:b/>
          <w:i/>
          <w:color w:val="000000"/>
          <w:spacing w:val="-16"/>
          <w:w w:val="105"/>
          <w:lang w:val="pt-BR"/>
        </w:rPr>
      </w:pPr>
      <w:r w:rsidRPr="00F9354F">
        <w:rPr>
          <w:b/>
          <w:i/>
          <w:color w:val="000000"/>
          <w:spacing w:val="-16"/>
          <w:w w:val="105"/>
          <w:lang w:val="pt-BR"/>
        </w:rPr>
        <w:t xml:space="preserve">Sectiunea 1 </w:t>
      </w:r>
      <w:r w:rsidRPr="00F9354F">
        <w:rPr>
          <w:b/>
          <w:i/>
          <w:color w:val="000000"/>
          <w:spacing w:val="-16"/>
          <w:w w:val="105"/>
          <w:lang w:val="pt-BR"/>
        </w:rPr>
        <w:br/>
      </w:r>
      <w:r w:rsidRPr="00F9354F">
        <w:rPr>
          <w:b/>
          <w:i/>
          <w:color w:val="000000"/>
          <w:spacing w:val="-8"/>
          <w:w w:val="105"/>
          <w:lang w:val="pt-BR"/>
        </w:rPr>
        <w:t>Titlul proiectului de hotărâre</w:t>
      </w:r>
    </w:p>
    <w:p w14:paraId="3A0943F6" w14:textId="77777777" w:rsidR="005A6082" w:rsidRDefault="00F9354F" w:rsidP="005A6082">
      <w:pPr>
        <w:jc w:val="center"/>
        <w:rPr>
          <w:b/>
          <w:lang w:val="ro-RO"/>
        </w:rPr>
      </w:pPr>
      <w:r w:rsidRPr="00805783">
        <w:rPr>
          <w:b/>
          <w:color w:val="000000"/>
          <w:spacing w:val="-6"/>
          <w:lang w:val="pt-BR"/>
        </w:rPr>
        <w:t xml:space="preserve">Proiect de hotărâre </w:t>
      </w:r>
      <w:r w:rsidRPr="00805783">
        <w:rPr>
          <w:b/>
          <w:color w:val="000000"/>
          <w:spacing w:val="-2"/>
          <w:lang w:val="pt-BR"/>
        </w:rPr>
        <w:t xml:space="preserve">privind </w:t>
      </w:r>
      <w:r w:rsidR="005A6082">
        <w:rPr>
          <w:b/>
          <w:lang w:val="ro-RO"/>
        </w:rPr>
        <w:t>modificarea Hotărârii nr. 536/2022 a Consiliului Local al Municipiului Timișoara referitoare la asigurarea pazei și protecției obiectivelor și a bunurilor de interes  public și privat aparținând Municipiului Timișoara, de către personalul contractual (guarzi) din cadrul Serviciului Pază Obiective a Direcției Generale a Poliției Locale Timișoara</w:t>
      </w:r>
    </w:p>
    <w:p w14:paraId="6E1A285E" w14:textId="77777777" w:rsidR="005A6082" w:rsidRDefault="005A6082" w:rsidP="005A6082">
      <w:pPr>
        <w:ind w:firstLine="708"/>
        <w:jc w:val="both"/>
        <w:rPr>
          <w:b/>
          <w:i/>
          <w:color w:val="000000"/>
          <w:spacing w:val="-20"/>
          <w:w w:val="105"/>
          <w:lang w:val="ro-RO"/>
        </w:rPr>
      </w:pPr>
    </w:p>
    <w:p w14:paraId="4661E8AF" w14:textId="141F4993" w:rsidR="00F9354F" w:rsidRPr="00805783" w:rsidRDefault="00F9354F" w:rsidP="005A6082">
      <w:pPr>
        <w:ind w:firstLine="708"/>
        <w:jc w:val="center"/>
        <w:rPr>
          <w:b/>
          <w:i/>
          <w:color w:val="000000"/>
          <w:spacing w:val="-7"/>
          <w:w w:val="105"/>
          <w:lang w:val="pt-BR"/>
        </w:rPr>
      </w:pPr>
      <w:r w:rsidRPr="00805783">
        <w:rPr>
          <w:b/>
          <w:i/>
          <w:color w:val="000000"/>
          <w:spacing w:val="-20"/>
          <w:w w:val="105"/>
          <w:lang w:val="pt-BR"/>
        </w:rPr>
        <w:t xml:space="preserve">Sectinea a 2 - a </w:t>
      </w:r>
      <w:r w:rsidRPr="00805783">
        <w:rPr>
          <w:b/>
          <w:i/>
          <w:color w:val="000000"/>
          <w:spacing w:val="-20"/>
          <w:w w:val="105"/>
          <w:lang w:val="pt-BR"/>
        </w:rPr>
        <w:br/>
      </w:r>
      <w:r w:rsidR="005A6082">
        <w:rPr>
          <w:b/>
          <w:i/>
          <w:color w:val="000000"/>
          <w:spacing w:val="-7"/>
          <w:w w:val="105"/>
          <w:lang w:val="pt-BR"/>
        </w:rPr>
        <w:t xml:space="preserve">           </w:t>
      </w:r>
      <w:r w:rsidRPr="00805783">
        <w:rPr>
          <w:b/>
          <w:i/>
          <w:color w:val="000000"/>
          <w:spacing w:val="-7"/>
          <w:w w:val="105"/>
          <w:lang w:val="pt-BR"/>
        </w:rPr>
        <w:t>Motivul emiterii proiectului de hotărâre</w:t>
      </w:r>
    </w:p>
    <w:p w14:paraId="35284FE0" w14:textId="36E7AAA5" w:rsidR="00F9354F" w:rsidRPr="00805783" w:rsidRDefault="00F9354F" w:rsidP="00805783">
      <w:pPr>
        <w:pStyle w:val="Listparagraf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805783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</w:t>
      </w:r>
      <w:r w:rsidR="00C17E0A" w:rsidRPr="00805783">
        <w:rPr>
          <w:rFonts w:ascii="Times New Roman" w:hAnsi="Times New Roman"/>
          <w:b/>
          <w:color w:val="000000"/>
          <w:spacing w:val="-5"/>
          <w:sz w:val="24"/>
          <w:szCs w:val="24"/>
        </w:rPr>
        <w:t>ț</w:t>
      </w:r>
      <w:r w:rsidRPr="00805783">
        <w:rPr>
          <w:rFonts w:ascii="Times New Roman" w:hAnsi="Times New Roman"/>
          <w:b/>
          <w:color w:val="000000"/>
          <w:spacing w:val="-5"/>
          <w:sz w:val="24"/>
          <w:szCs w:val="24"/>
        </w:rPr>
        <w:t>iei actuale</w:t>
      </w:r>
    </w:p>
    <w:p w14:paraId="0B93D4EC" w14:textId="77777777" w:rsidR="00F9354F" w:rsidRPr="00805783" w:rsidRDefault="00F9354F" w:rsidP="00805783">
      <w:pPr>
        <w:pStyle w:val="Listparagraf"/>
        <w:spacing w:line="240" w:lineRule="auto"/>
        <w:rPr>
          <w:b/>
          <w:sz w:val="24"/>
          <w:szCs w:val="24"/>
        </w:rPr>
      </w:pPr>
    </w:p>
    <w:p w14:paraId="2472318C" w14:textId="132E5756" w:rsidR="005648F3" w:rsidRDefault="00F9354F" w:rsidP="00805783">
      <w:pPr>
        <w:pStyle w:val="Listparagraf"/>
        <w:spacing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 w:rsidRPr="00805783">
        <w:rPr>
          <w:rFonts w:ascii="Times New Roman" w:hAnsi="Times New Roman"/>
          <w:color w:val="000000"/>
          <w:sz w:val="24"/>
          <w:szCs w:val="24"/>
        </w:rPr>
        <w:t xml:space="preserve">Direcția Generală a Poliției Locale Timișoara  </w:t>
      </w:r>
      <w:r w:rsidR="0014222E" w:rsidRPr="00805783">
        <w:rPr>
          <w:rFonts w:ascii="Times New Roman" w:hAnsi="Times New Roman"/>
          <w:color w:val="000000"/>
          <w:sz w:val="24"/>
          <w:szCs w:val="24"/>
        </w:rPr>
        <w:t>asigură paza  bunurilor și obiectivelor aflate în proprietatea Municipiului Timișoara și/sau în administrarea autorității administrației publice locale stabilite de consiliul local</w:t>
      </w:r>
      <w:r w:rsidR="008126B3" w:rsidRPr="0080578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4222E" w:rsidRPr="00805783">
        <w:rPr>
          <w:rFonts w:ascii="Times New Roman" w:hAnsi="Times New Roman"/>
          <w:color w:val="000000"/>
          <w:sz w:val="24"/>
          <w:szCs w:val="24"/>
        </w:rPr>
        <w:t xml:space="preserve"> în conformitate cu </w:t>
      </w:r>
      <w:r w:rsidRPr="00805783">
        <w:rPr>
          <w:rFonts w:ascii="Times New Roman" w:hAnsi="Times New Roman"/>
          <w:bCs/>
          <w:color w:val="000000"/>
          <w:sz w:val="24"/>
          <w:szCs w:val="24"/>
        </w:rPr>
        <w:t xml:space="preserve">dispozițiile </w:t>
      </w:r>
      <w:r w:rsidRPr="00805783">
        <w:rPr>
          <w:rFonts w:ascii="Times New Roman" w:hAnsi="Times New Roman"/>
          <w:bCs/>
          <w:sz w:val="24"/>
          <w:szCs w:val="24"/>
        </w:rPr>
        <w:t>dispozițiilor art. 6 lit. h) din Legea poliției locale nr. 155/2010</w:t>
      </w:r>
      <w:r w:rsidR="00AF3C29" w:rsidRPr="00805783">
        <w:rPr>
          <w:rFonts w:ascii="Times New Roman" w:hAnsi="Times New Roman"/>
          <w:bCs/>
          <w:sz w:val="24"/>
          <w:szCs w:val="24"/>
        </w:rPr>
        <w:t xml:space="preserve"> și cu dispozițiile</w:t>
      </w:r>
      <w:r w:rsidRPr="00805783">
        <w:rPr>
          <w:rFonts w:ascii="Times New Roman" w:eastAsiaTheme="minorHAnsi" w:hAnsi="Times New Roman"/>
          <w:sz w:val="24"/>
          <w:szCs w:val="24"/>
        </w:rPr>
        <w:t xml:space="preserve"> </w:t>
      </w:r>
      <w:r w:rsidRPr="00805783">
        <w:rPr>
          <w:rFonts w:ascii="Times New Roman" w:hAnsi="Times New Roman"/>
          <w:sz w:val="24"/>
          <w:szCs w:val="24"/>
          <w:lang w:val="pt-BR"/>
        </w:rPr>
        <w:t xml:space="preserve">art. 22 din Hotărârea Guvernului nr. 1.332/23.12.2010 privind aprobarea  Regulamentul-cadru de organizare funcționare a poliției locale, </w:t>
      </w:r>
      <w:r w:rsidR="00AF3C29" w:rsidRPr="00805783">
        <w:rPr>
          <w:rFonts w:ascii="Times New Roman" w:hAnsi="Times New Roman"/>
          <w:sz w:val="24"/>
          <w:szCs w:val="24"/>
          <w:lang w:val="pt-BR"/>
        </w:rPr>
        <w:t xml:space="preserve">ce </w:t>
      </w:r>
      <w:r w:rsidRPr="00805783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AF3C29" w:rsidRPr="00805783">
        <w:rPr>
          <w:rFonts w:ascii="Times New Roman" w:hAnsi="Times New Roman"/>
          <w:sz w:val="24"/>
          <w:szCs w:val="24"/>
          <w:lang w:val="pt-BR"/>
        </w:rPr>
        <w:t>reglementează</w:t>
      </w:r>
      <w:r w:rsidRPr="00805783">
        <w:rPr>
          <w:rFonts w:ascii="Times New Roman" w:hAnsi="Times New Roman"/>
          <w:sz w:val="24"/>
          <w:szCs w:val="24"/>
          <w:lang w:val="pt-BR"/>
        </w:rPr>
        <w:t xml:space="preserve"> atribuțiile sepcifice a </w:t>
      </w:r>
      <w:r w:rsidRPr="00805783">
        <w:rPr>
          <w:rFonts w:ascii="Times New Roman" w:eastAsiaTheme="minorHAnsi" w:hAnsi="Times New Roman"/>
          <w:sz w:val="24"/>
          <w:szCs w:val="24"/>
          <w:lang w:val="pt-BR"/>
        </w:rPr>
        <w:t xml:space="preserve"> personalul</w:t>
      </w:r>
      <w:r w:rsidR="008126B3" w:rsidRPr="00805783">
        <w:rPr>
          <w:rFonts w:ascii="Times New Roman" w:eastAsiaTheme="minorHAnsi" w:hAnsi="Times New Roman"/>
          <w:sz w:val="24"/>
          <w:szCs w:val="24"/>
          <w:lang w:val="pt-BR"/>
        </w:rPr>
        <w:t>ui</w:t>
      </w:r>
      <w:r w:rsidRPr="00805783">
        <w:rPr>
          <w:rFonts w:ascii="Times New Roman" w:eastAsiaTheme="minorHAnsi" w:hAnsi="Times New Roman"/>
          <w:sz w:val="24"/>
          <w:szCs w:val="24"/>
          <w:lang w:val="pt-BR"/>
        </w:rPr>
        <w:t xml:space="preserve"> contractual care execută activităţi de pază.</w:t>
      </w:r>
    </w:p>
    <w:p w14:paraId="0D42CFCE" w14:textId="14D521E6" w:rsidR="0065411B" w:rsidRDefault="0075084B" w:rsidP="00805783">
      <w:pPr>
        <w:pStyle w:val="Listparagraf"/>
        <w:spacing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pt-BR"/>
        </w:rPr>
      </w:pPr>
      <w:r>
        <w:rPr>
          <w:rFonts w:ascii="Times New Roman" w:eastAsiaTheme="minorHAnsi" w:hAnsi="Times New Roman"/>
          <w:sz w:val="24"/>
          <w:szCs w:val="24"/>
          <w:lang w:val="pt-BR"/>
        </w:rPr>
        <w:t>Prin Hotărârea nr. 536/2022 a Consiliului Local al Municipiului Timișoara au fost stabilite obiectivele care se asigură cu pază, efectuată de personalul contractual din cadrul Direcției Generale a Poliției Locale Timișoara, astfel:</w:t>
      </w:r>
    </w:p>
    <w:p w14:paraId="486E1895" w14:textId="77777777" w:rsidR="0075084B" w:rsidRPr="0075084B" w:rsidRDefault="0075084B" w:rsidP="0075084B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5084B">
        <w:rPr>
          <w:rFonts w:ascii="Times New Roman" w:hAnsi="Times New Roman"/>
          <w:b/>
          <w:bCs/>
          <w:sz w:val="24"/>
          <w:szCs w:val="24"/>
          <w:lang w:val="it-IT"/>
        </w:rPr>
        <w:t>Primăria Municipiului Timișoara</w:t>
      </w:r>
      <w:r w:rsidRPr="0075084B">
        <w:rPr>
          <w:rFonts w:ascii="Times New Roman" w:hAnsi="Times New Roman"/>
          <w:sz w:val="24"/>
          <w:szCs w:val="24"/>
          <w:lang w:val="it-IT"/>
        </w:rPr>
        <w:t xml:space="preserve">, </w:t>
      </w:r>
      <w:r w:rsidRPr="0075084B">
        <w:rPr>
          <w:rFonts w:ascii="Times New Roman" w:hAnsi="Times New Roman"/>
          <w:bCs/>
          <w:sz w:val="24"/>
          <w:szCs w:val="24"/>
          <w:lang w:val="it-IT"/>
        </w:rPr>
        <w:t>3 posturi de pază</w:t>
      </w:r>
      <w:r w:rsidRPr="0075084B">
        <w:rPr>
          <w:rFonts w:ascii="Times New Roman" w:hAnsi="Times New Roman"/>
          <w:sz w:val="24"/>
          <w:szCs w:val="24"/>
          <w:lang w:val="it-IT"/>
        </w:rPr>
        <w:t>, din care 1(unul)  permanent la 12 ore în ture de 12/24, respectiv, 12 /48  și 1 post temporar la 8 ore pe timp de zi, cu un agent de securitate / post în intervalul orar 08,00 – 16,30, de L- J si V în intervalul 08,00-14,00, asigurat cu un numar de 9 agenți de securitate  (guarzi). În cadrul PMT mai există un post asigurat de 1 polițist local, care asigură ordinea și liniștea publică la etajul I – acces conducere, în intervalul orar 08,00 – 16,30, de L-J și V în intervalul orar 08,00 – 14,00;</w:t>
      </w:r>
    </w:p>
    <w:p w14:paraId="42B1E033" w14:textId="77777777" w:rsidR="0075084B" w:rsidRPr="0075084B" w:rsidRDefault="0075084B" w:rsidP="0075084B">
      <w:pPr>
        <w:pStyle w:val="Listparagraf"/>
        <w:numPr>
          <w:ilvl w:val="0"/>
          <w:numId w:val="3"/>
        </w:numPr>
        <w:spacing w:after="0" w:line="240" w:lineRule="auto"/>
        <w:ind w:right="63"/>
        <w:jc w:val="both"/>
        <w:rPr>
          <w:rFonts w:ascii="Times New Roman" w:hAnsi="Times New Roman"/>
          <w:sz w:val="24"/>
          <w:szCs w:val="24"/>
          <w:lang w:val="it-IT"/>
        </w:rPr>
      </w:pPr>
      <w:r w:rsidRPr="0075084B">
        <w:rPr>
          <w:rFonts w:ascii="Times New Roman" w:hAnsi="Times New Roman"/>
          <w:b/>
          <w:bCs/>
          <w:sz w:val="24"/>
          <w:szCs w:val="24"/>
          <w:lang w:val="it-IT"/>
        </w:rPr>
        <w:t>Direcția Fiscală a Municipiului Timișoara</w:t>
      </w:r>
      <w:r w:rsidRPr="0075084B">
        <w:rPr>
          <w:rFonts w:ascii="Times New Roman" w:hAnsi="Times New Roman"/>
          <w:sz w:val="24"/>
          <w:szCs w:val="24"/>
          <w:lang w:val="it-IT"/>
        </w:rPr>
        <w:t xml:space="preserve">, </w:t>
      </w:r>
      <w:r w:rsidRPr="0075084B">
        <w:rPr>
          <w:rFonts w:ascii="Times New Roman" w:hAnsi="Times New Roman"/>
          <w:bCs/>
          <w:sz w:val="24"/>
          <w:szCs w:val="24"/>
          <w:lang w:val="it-IT"/>
        </w:rPr>
        <w:t>1(unul)  post de pază temporar</w:t>
      </w:r>
      <w:r w:rsidRPr="0075084B">
        <w:rPr>
          <w:rFonts w:ascii="Times New Roman" w:hAnsi="Times New Roman"/>
          <w:sz w:val="24"/>
          <w:szCs w:val="24"/>
          <w:lang w:val="it-IT"/>
        </w:rPr>
        <w:t xml:space="preserve"> cu un agent de securitate / post, pe timp de zi în intervalul orar 08,00 – 16,30, de L-J si V în intervalul orar 08,00-14,00, asigurat cu un numar de 2 agenți de securitate  (guarzi);</w:t>
      </w:r>
    </w:p>
    <w:p w14:paraId="3CF2D6B9" w14:textId="77777777" w:rsidR="0075084B" w:rsidRPr="0075084B" w:rsidRDefault="0075084B" w:rsidP="0075084B">
      <w:pPr>
        <w:pStyle w:val="Listparagraf"/>
        <w:numPr>
          <w:ilvl w:val="0"/>
          <w:numId w:val="3"/>
        </w:numPr>
        <w:spacing w:after="0" w:line="240" w:lineRule="auto"/>
        <w:ind w:right="63"/>
        <w:jc w:val="both"/>
        <w:rPr>
          <w:rFonts w:ascii="Times New Roman" w:hAnsi="Times New Roman"/>
          <w:sz w:val="24"/>
          <w:szCs w:val="24"/>
          <w:lang w:val="it-IT"/>
        </w:rPr>
      </w:pPr>
      <w:r w:rsidRPr="0075084B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5084B">
        <w:rPr>
          <w:rFonts w:ascii="Times New Roman" w:hAnsi="Times New Roman"/>
          <w:b/>
          <w:bCs/>
          <w:sz w:val="24"/>
          <w:szCs w:val="24"/>
          <w:lang w:val="it-IT"/>
        </w:rPr>
        <w:t>Direcția de Evidență a Persoanelor Timișoara</w:t>
      </w:r>
      <w:r w:rsidRPr="0075084B">
        <w:rPr>
          <w:rFonts w:ascii="Times New Roman" w:hAnsi="Times New Roman"/>
          <w:sz w:val="24"/>
          <w:szCs w:val="24"/>
          <w:lang w:val="it-IT"/>
        </w:rPr>
        <w:t>,</w:t>
      </w:r>
      <w:r w:rsidRPr="0075084B">
        <w:rPr>
          <w:rFonts w:ascii="Times New Roman" w:hAnsi="Times New Roman"/>
          <w:bCs/>
          <w:sz w:val="24"/>
          <w:szCs w:val="24"/>
          <w:lang w:val="it-IT"/>
        </w:rPr>
        <w:t>1(unul) post de pază permanent,</w:t>
      </w:r>
      <w:r w:rsidRPr="0075084B">
        <w:rPr>
          <w:rFonts w:ascii="Times New Roman" w:hAnsi="Times New Roman"/>
          <w:sz w:val="24"/>
          <w:szCs w:val="24"/>
          <w:lang w:val="it-IT"/>
        </w:rPr>
        <w:t xml:space="preserve"> cu un agent de securitate / post la 12 ore în ture de 12/24, respectiv, 12 /48, asigurat cu un numar de 5 agenți de securitate  (guarzi) .</w:t>
      </w:r>
    </w:p>
    <w:p w14:paraId="4B245B03" w14:textId="77777777" w:rsidR="0075084B" w:rsidRPr="0075084B" w:rsidRDefault="0075084B" w:rsidP="0075084B">
      <w:pPr>
        <w:pStyle w:val="Listparagraf"/>
        <w:numPr>
          <w:ilvl w:val="0"/>
          <w:numId w:val="3"/>
        </w:numPr>
        <w:spacing w:after="0" w:line="240" w:lineRule="auto"/>
        <w:ind w:right="63"/>
        <w:jc w:val="both"/>
        <w:rPr>
          <w:rFonts w:ascii="Times New Roman" w:hAnsi="Times New Roman"/>
          <w:sz w:val="24"/>
          <w:szCs w:val="24"/>
          <w:lang w:val="it-IT"/>
        </w:rPr>
      </w:pPr>
      <w:r w:rsidRPr="0075084B">
        <w:rPr>
          <w:rFonts w:ascii="Times New Roman" w:hAnsi="Times New Roman"/>
          <w:b/>
          <w:bCs/>
          <w:sz w:val="24"/>
          <w:szCs w:val="24"/>
          <w:lang w:val="it-IT"/>
        </w:rPr>
        <w:t>Direcția Generală a Poliției Locale Timișoara,</w:t>
      </w:r>
      <w:r w:rsidRPr="0075084B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5084B">
        <w:rPr>
          <w:rFonts w:ascii="Times New Roman" w:hAnsi="Times New Roman"/>
          <w:b/>
          <w:sz w:val="24"/>
          <w:szCs w:val="24"/>
          <w:lang w:val="it-IT"/>
        </w:rPr>
        <w:t>1 (unul)  post</w:t>
      </w:r>
      <w:r w:rsidRPr="0075084B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5084B">
        <w:rPr>
          <w:rFonts w:ascii="Times New Roman" w:hAnsi="Times New Roman"/>
          <w:b/>
          <w:sz w:val="24"/>
          <w:szCs w:val="24"/>
          <w:lang w:val="it-IT"/>
        </w:rPr>
        <w:t>de pază</w:t>
      </w:r>
      <w:r w:rsidRPr="0075084B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5084B">
        <w:rPr>
          <w:rFonts w:ascii="Times New Roman" w:hAnsi="Times New Roman"/>
          <w:b/>
          <w:sz w:val="24"/>
          <w:szCs w:val="24"/>
          <w:lang w:val="it-IT"/>
        </w:rPr>
        <w:t>permanen</w:t>
      </w:r>
      <w:r w:rsidRPr="0075084B">
        <w:rPr>
          <w:rFonts w:ascii="Times New Roman" w:hAnsi="Times New Roman"/>
          <w:sz w:val="24"/>
          <w:szCs w:val="24"/>
          <w:lang w:val="it-IT"/>
        </w:rPr>
        <w:t xml:space="preserve">t, cu un agent de securitate / post la 12 ore în ture de 12/24, respectiv, 12 /48, asigurat cu un numar de 5 agenti de securitate  (guarzi) </w:t>
      </w:r>
    </w:p>
    <w:p w14:paraId="4CC459D5" w14:textId="77777777" w:rsidR="0075084B" w:rsidRPr="0075084B" w:rsidRDefault="0075084B" w:rsidP="0075084B">
      <w:pPr>
        <w:pStyle w:val="Listparagraf"/>
        <w:numPr>
          <w:ilvl w:val="0"/>
          <w:numId w:val="3"/>
        </w:numPr>
        <w:spacing w:after="0" w:line="240" w:lineRule="auto"/>
        <w:ind w:right="63"/>
        <w:jc w:val="both"/>
        <w:rPr>
          <w:rFonts w:ascii="Times New Roman" w:hAnsi="Times New Roman"/>
          <w:sz w:val="24"/>
          <w:szCs w:val="24"/>
          <w:lang w:val="it-IT"/>
        </w:rPr>
      </w:pPr>
      <w:r w:rsidRPr="0075084B">
        <w:rPr>
          <w:rFonts w:ascii="Times New Roman" w:hAnsi="Times New Roman"/>
          <w:b/>
          <w:bCs/>
          <w:sz w:val="24"/>
          <w:szCs w:val="24"/>
          <w:lang w:val="it-IT"/>
        </w:rPr>
        <w:t>Centrul Social de Urgență pentru Persoane fără Adapost  cu Cantină Socială Timișoara</w:t>
      </w:r>
      <w:r w:rsidRPr="0075084B">
        <w:rPr>
          <w:rFonts w:ascii="Times New Roman" w:hAnsi="Times New Roman"/>
          <w:sz w:val="24"/>
          <w:szCs w:val="24"/>
          <w:lang w:val="it-IT"/>
        </w:rPr>
        <w:t xml:space="preserve">, prin HCL nr.336/31.07.2015, </w:t>
      </w:r>
      <w:r w:rsidRPr="0075084B">
        <w:rPr>
          <w:rFonts w:ascii="Times New Roman" w:hAnsi="Times New Roman"/>
          <w:bCs/>
          <w:sz w:val="24"/>
          <w:szCs w:val="24"/>
          <w:lang w:val="it-IT"/>
        </w:rPr>
        <w:t>1(unul) post de paza permanent,</w:t>
      </w:r>
      <w:r w:rsidRPr="0075084B">
        <w:rPr>
          <w:rFonts w:ascii="Times New Roman" w:hAnsi="Times New Roman"/>
          <w:sz w:val="24"/>
          <w:szCs w:val="24"/>
          <w:lang w:val="it-IT"/>
        </w:rPr>
        <w:t xml:space="preserve"> cu un agent de securitate / post la 12 ore în ture de 12/24, respectiv, 12 /48, asigurat cu un numar de 5 agenți de securitate  (guarzi) </w:t>
      </w:r>
    </w:p>
    <w:p w14:paraId="23B70EC2" w14:textId="77777777" w:rsidR="0075084B" w:rsidRPr="0075084B" w:rsidRDefault="0075084B" w:rsidP="0075084B">
      <w:pPr>
        <w:pStyle w:val="Listparagraf"/>
        <w:numPr>
          <w:ilvl w:val="0"/>
          <w:numId w:val="3"/>
        </w:numPr>
        <w:spacing w:after="0" w:line="240" w:lineRule="auto"/>
        <w:ind w:right="63"/>
        <w:jc w:val="both"/>
        <w:rPr>
          <w:rFonts w:ascii="Times New Roman" w:hAnsi="Times New Roman"/>
          <w:sz w:val="24"/>
          <w:szCs w:val="24"/>
          <w:lang w:val="it-IT"/>
        </w:rPr>
      </w:pPr>
      <w:r w:rsidRPr="0075084B">
        <w:rPr>
          <w:rFonts w:ascii="Times New Roman" w:hAnsi="Times New Roman"/>
          <w:b/>
          <w:bCs/>
          <w:sz w:val="24"/>
          <w:szCs w:val="24"/>
          <w:lang w:val="it-IT"/>
        </w:rPr>
        <w:t>INCUBOXX</w:t>
      </w:r>
      <w:r w:rsidRPr="0075084B">
        <w:rPr>
          <w:rFonts w:ascii="Times New Roman" w:hAnsi="Times New Roman"/>
          <w:sz w:val="24"/>
          <w:szCs w:val="24"/>
          <w:lang w:val="it-IT"/>
        </w:rPr>
        <w:t xml:space="preserve">, </w:t>
      </w:r>
      <w:r w:rsidRPr="0075084B">
        <w:rPr>
          <w:rFonts w:ascii="Times New Roman" w:hAnsi="Times New Roman"/>
          <w:bCs/>
          <w:sz w:val="24"/>
          <w:szCs w:val="24"/>
          <w:lang w:val="it-IT"/>
        </w:rPr>
        <w:t>1 (unul) post de pază permanent,</w:t>
      </w:r>
      <w:r w:rsidRPr="0075084B">
        <w:rPr>
          <w:rFonts w:ascii="Times New Roman" w:hAnsi="Times New Roman"/>
          <w:sz w:val="24"/>
          <w:szCs w:val="24"/>
          <w:lang w:val="it-IT"/>
        </w:rPr>
        <w:t xml:space="preserve"> cu un agent de securitate / post la 12 ore in ture de 12/24, respectiv, 12 /48, asigurat cu un număr de 5  agenți de securitate  (guarzi).</w:t>
      </w:r>
    </w:p>
    <w:p w14:paraId="05772FB6" w14:textId="77777777" w:rsidR="0075084B" w:rsidRPr="0075084B" w:rsidRDefault="0075084B" w:rsidP="00805783">
      <w:pPr>
        <w:pStyle w:val="Listparagraf"/>
        <w:spacing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it-IT"/>
        </w:rPr>
      </w:pPr>
    </w:p>
    <w:p w14:paraId="6BB5B458" w14:textId="77777777" w:rsidR="008126B3" w:rsidRPr="00805783" w:rsidRDefault="008126B3" w:rsidP="00805783">
      <w:pPr>
        <w:pStyle w:val="Listparagraf"/>
        <w:spacing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05783">
        <w:rPr>
          <w:rFonts w:ascii="Times New Roman" w:eastAsia="SimSun" w:hAnsi="Times New Roman"/>
          <w:sz w:val="24"/>
          <w:szCs w:val="24"/>
          <w:lang w:eastAsia="zh-CN"/>
        </w:rPr>
        <w:t xml:space="preserve">Menționăm că asigurarea </w:t>
      </w:r>
      <w:r w:rsidRPr="00805783">
        <w:rPr>
          <w:rFonts w:ascii="Times New Roman" w:hAnsi="Times New Roman"/>
          <w:bCs/>
          <w:sz w:val="24"/>
          <w:szCs w:val="24"/>
        </w:rPr>
        <w:t xml:space="preserve"> permanentă  24 din 24 cu pază a unui obiectiv  presupune utilizarea în această activitatea a  unui  număr de 5 agenți de securitate (guarzi)  ce trebuie repartizați pe ture 12 /24 și 12/ 48  doar așa  putându-se realiza  un raport eficient între calitate și serviciul prestat.</w:t>
      </w:r>
    </w:p>
    <w:p w14:paraId="1523C4C7" w14:textId="5D812327" w:rsidR="00CB0AC6" w:rsidRDefault="00200286" w:rsidP="0075084B">
      <w:pPr>
        <w:pStyle w:val="Listparagraf"/>
        <w:spacing w:line="240" w:lineRule="auto"/>
        <w:ind w:left="0" w:firstLine="720"/>
        <w:jc w:val="both"/>
        <w:rPr>
          <w:rFonts w:ascii="Times New Roman" w:eastAsiaTheme="minorEastAsia" w:hAnsi="Times New Roman"/>
          <w:bCs/>
          <w:sz w:val="24"/>
          <w:szCs w:val="24"/>
        </w:rPr>
      </w:pPr>
      <w:r w:rsidRPr="00805783">
        <w:rPr>
          <w:rFonts w:ascii="Times New Roman" w:eastAsiaTheme="minorEastAsia" w:hAnsi="Times New Roman"/>
          <w:bCs/>
          <w:sz w:val="24"/>
          <w:szCs w:val="24"/>
        </w:rPr>
        <w:lastRenderedPageBreak/>
        <w:t>Ținând cont și de faptul</w:t>
      </w:r>
      <w:r w:rsidR="008126B3" w:rsidRPr="00805783">
        <w:rPr>
          <w:rFonts w:ascii="Times New Roman" w:eastAsiaTheme="minorEastAsia" w:hAnsi="Times New Roman"/>
          <w:bCs/>
          <w:sz w:val="24"/>
          <w:szCs w:val="24"/>
        </w:rPr>
        <w:t xml:space="preserve"> că,  prin </w:t>
      </w:r>
      <w:r w:rsidR="005648F3" w:rsidRPr="00805783">
        <w:rPr>
          <w:rFonts w:ascii="Times New Roman" w:eastAsiaTheme="minorEastAsia" w:hAnsi="Times New Roman"/>
          <w:bCs/>
          <w:sz w:val="24"/>
          <w:szCs w:val="24"/>
        </w:rPr>
        <w:t xml:space="preserve"> HCLTM nr. 368/26.07.2022 – privind aprobarea reorganizării, schimbarea denumirii instituției, modificarea și aprobarea Organigramei, Statului de funcții, Regulamentului de Organizare și Funcționare și aprobarea coeficienților de ierarhizare a posturilor pentru Direcția Poliției Locale Timișoara, </w:t>
      </w:r>
      <w:r w:rsidR="008126B3" w:rsidRPr="00805783">
        <w:rPr>
          <w:rFonts w:ascii="Times New Roman" w:eastAsiaTheme="minorEastAsia" w:hAnsi="Times New Roman"/>
          <w:bCs/>
          <w:sz w:val="24"/>
          <w:szCs w:val="24"/>
        </w:rPr>
        <w:t xml:space="preserve"> instituția a fost reorganizată iar </w:t>
      </w:r>
      <w:r w:rsidR="005648F3" w:rsidRPr="00805783">
        <w:rPr>
          <w:rFonts w:ascii="Times New Roman" w:eastAsiaTheme="minorEastAsia" w:hAnsi="Times New Roman"/>
          <w:bCs/>
          <w:sz w:val="24"/>
          <w:szCs w:val="24"/>
        </w:rPr>
        <w:t>Serviciul de Pază Obiective are în componență un număr de 32 funcții de execuție (guarzi) din care 3 funcții vacante</w:t>
      </w:r>
      <w:r w:rsidR="008126B3" w:rsidRPr="00805783">
        <w:rPr>
          <w:rFonts w:ascii="Times New Roman" w:eastAsiaTheme="minorEastAsia" w:hAnsi="Times New Roman"/>
          <w:bCs/>
          <w:sz w:val="24"/>
          <w:szCs w:val="24"/>
        </w:rPr>
        <w:t xml:space="preserve">, se impune adoptarea unei noi hotărâri  prin care să se stabilească obiectivele Municipiului Timișoara care vor fi </w:t>
      </w:r>
      <w:r w:rsidR="005648F3" w:rsidRPr="00805783">
        <w:rPr>
          <w:rFonts w:ascii="Times New Roman" w:eastAsiaTheme="minorEastAsia" w:hAnsi="Times New Roman"/>
          <w:bCs/>
          <w:sz w:val="24"/>
          <w:szCs w:val="24"/>
        </w:rPr>
        <w:t xml:space="preserve">  asigur</w:t>
      </w:r>
      <w:r w:rsidR="008126B3" w:rsidRPr="00805783">
        <w:rPr>
          <w:rFonts w:ascii="Times New Roman" w:eastAsiaTheme="minorEastAsia" w:hAnsi="Times New Roman"/>
          <w:bCs/>
          <w:sz w:val="24"/>
          <w:szCs w:val="24"/>
        </w:rPr>
        <w:t xml:space="preserve">ate cu </w:t>
      </w:r>
      <w:r w:rsidR="005648F3" w:rsidRPr="00805783">
        <w:rPr>
          <w:rFonts w:ascii="Times New Roman" w:eastAsiaTheme="minorEastAsia" w:hAnsi="Times New Roman"/>
          <w:bCs/>
          <w:sz w:val="24"/>
          <w:szCs w:val="24"/>
        </w:rPr>
        <w:t xml:space="preserve"> paz</w:t>
      </w:r>
      <w:r w:rsidR="00AA0507">
        <w:rPr>
          <w:rFonts w:ascii="Times New Roman" w:eastAsiaTheme="minorEastAsia" w:hAnsi="Times New Roman"/>
          <w:bCs/>
          <w:sz w:val="24"/>
          <w:szCs w:val="24"/>
        </w:rPr>
        <w:t>ă</w:t>
      </w:r>
      <w:r w:rsidR="005648F3" w:rsidRPr="00805783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r w:rsidR="008126B3" w:rsidRPr="00805783">
        <w:rPr>
          <w:rFonts w:ascii="Times New Roman" w:eastAsiaTheme="minorEastAsia" w:hAnsi="Times New Roman"/>
          <w:bCs/>
          <w:sz w:val="24"/>
          <w:szCs w:val="24"/>
        </w:rPr>
        <w:t>de către Serviciul pază Obiective din cadrul Direcției Generale a Poliției Locale Timișoara.</w:t>
      </w:r>
    </w:p>
    <w:p w14:paraId="3AB78514" w14:textId="77777777" w:rsidR="0075084B" w:rsidRDefault="0075084B" w:rsidP="0075084B">
      <w:pPr>
        <w:ind w:firstLine="708"/>
        <w:jc w:val="both"/>
        <w:rPr>
          <w:rFonts w:eastAsiaTheme="minorEastAsia"/>
          <w:bCs/>
          <w:lang w:val="ro-RO"/>
        </w:rPr>
      </w:pPr>
      <w:r>
        <w:rPr>
          <w:rFonts w:eastAsiaTheme="minorEastAsia"/>
          <w:bCs/>
          <w:lang w:val="ro-RO"/>
        </w:rPr>
        <w:t>În ceea ce privește obiectivul 6 „INCUBOXX”, prin Hotărârea nr. 601/2019 a Consiliului Local al Municipiului Timișoara a fost aprobat Regulamentul de Organizare și Funcționare pentru Serviciul Public de Administrare a Centrului Regional de Competențe și Dezvoltare a Furnizorilor în Sectorul Automotive – CERC (Regulamentul).</w:t>
      </w:r>
    </w:p>
    <w:p w14:paraId="2D7927A2" w14:textId="77777777" w:rsidR="0075084B" w:rsidRDefault="0075084B" w:rsidP="0075084B">
      <w:pPr>
        <w:ind w:firstLine="708"/>
        <w:jc w:val="both"/>
        <w:rPr>
          <w:rFonts w:eastAsiaTheme="minorEastAsia"/>
          <w:bCs/>
          <w:lang w:val="ro-RO"/>
        </w:rPr>
      </w:pPr>
      <w:r>
        <w:rPr>
          <w:rFonts w:eastAsiaTheme="minorEastAsia"/>
          <w:bCs/>
          <w:lang w:val="ro-RO"/>
        </w:rPr>
        <w:t>Potrivit art. 13 alin. 1 din Regulament, Departamentul Administrativ-IT „planifică, coordonează și controlează activitățile de pază, curățenie din cadrul CERC”, iar potrivit art. 17 alin. 2 din Regulament „cheltuielile de exploatare a infrastructurii includ (fără a se limita la): cheltuieli servicii de protecție și pază”.</w:t>
      </w:r>
    </w:p>
    <w:p w14:paraId="1BF243C0" w14:textId="77777777" w:rsidR="0075084B" w:rsidRDefault="0075084B" w:rsidP="0075084B">
      <w:pPr>
        <w:ind w:firstLine="708"/>
        <w:jc w:val="both"/>
        <w:rPr>
          <w:rFonts w:eastAsiaTheme="minorEastAsia"/>
          <w:bCs/>
          <w:lang w:val="ro-RO"/>
        </w:rPr>
      </w:pPr>
      <w:r>
        <w:rPr>
          <w:rFonts w:eastAsiaTheme="minorEastAsia"/>
          <w:bCs/>
          <w:lang w:val="ro-RO"/>
        </w:rPr>
        <w:t>Prin Hotărârea nr. 123/2023 a Consiliului Local al Municipiului Timișoara, imobilul denumit generic „INCUBOXX” a fost dat în administrarea Serviciului Public de Administrare a Centrului Regional de Competențe și Dezvoltare a Furnizorilor în Sectorul Automotive – CERC.</w:t>
      </w:r>
    </w:p>
    <w:p w14:paraId="381DE4AF" w14:textId="77777777" w:rsidR="0075084B" w:rsidRPr="00B44E96" w:rsidRDefault="0075084B" w:rsidP="0075084B">
      <w:pPr>
        <w:ind w:firstLine="708"/>
        <w:jc w:val="both"/>
        <w:rPr>
          <w:rFonts w:eastAsiaTheme="minorEastAsia"/>
          <w:bCs/>
          <w:lang w:val="ro-RO"/>
        </w:rPr>
      </w:pPr>
      <w:r>
        <w:rPr>
          <w:rFonts w:eastAsiaTheme="minorEastAsia"/>
          <w:bCs/>
          <w:lang w:val="ro-RO"/>
        </w:rPr>
        <w:t>Prin urmare, toate atribuțiile stabilite prin Regulament, inclusiv cea referitoare la pază se aplică și asupra imobilului dat în administrare către CERC.</w:t>
      </w:r>
    </w:p>
    <w:p w14:paraId="28DC905D" w14:textId="5C96E8C1" w:rsidR="00F9354F" w:rsidRPr="00805783" w:rsidRDefault="00F9354F" w:rsidP="00805783">
      <w:pPr>
        <w:tabs>
          <w:tab w:val="left" w:pos="1968"/>
        </w:tabs>
        <w:spacing w:before="64"/>
        <w:jc w:val="both"/>
        <w:rPr>
          <w:b/>
          <w:color w:val="000000"/>
          <w:spacing w:val="-5"/>
          <w:lang w:val="ro-RO"/>
        </w:rPr>
      </w:pPr>
    </w:p>
    <w:p w14:paraId="4DBBE1F0" w14:textId="53473EF4" w:rsidR="00F9354F" w:rsidRPr="00805783" w:rsidRDefault="00F9354F" w:rsidP="00805783">
      <w:pPr>
        <w:pStyle w:val="Listparagraf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805783">
        <w:rPr>
          <w:rFonts w:ascii="Times New Roman" w:hAnsi="Times New Roman"/>
          <w:b/>
          <w:color w:val="000000"/>
          <w:spacing w:val="-5"/>
          <w:sz w:val="24"/>
          <w:szCs w:val="24"/>
        </w:rPr>
        <w:t>Schimb</w:t>
      </w:r>
      <w:r w:rsidR="000D72E9" w:rsidRPr="00805783">
        <w:rPr>
          <w:rFonts w:ascii="Times New Roman" w:hAnsi="Times New Roman"/>
          <w:b/>
          <w:color w:val="000000"/>
          <w:spacing w:val="-5"/>
          <w:sz w:val="24"/>
          <w:szCs w:val="24"/>
        </w:rPr>
        <w:t>ă</w:t>
      </w:r>
      <w:r w:rsidRPr="00805783">
        <w:rPr>
          <w:rFonts w:ascii="Times New Roman" w:hAnsi="Times New Roman"/>
          <w:b/>
          <w:color w:val="000000"/>
          <w:spacing w:val="-5"/>
          <w:sz w:val="24"/>
          <w:szCs w:val="24"/>
        </w:rPr>
        <w:t>ri preconizate și rezultate așteptate</w:t>
      </w:r>
    </w:p>
    <w:p w14:paraId="44187B46" w14:textId="1FFB30EF" w:rsidR="00F9354F" w:rsidRPr="003F4AF8" w:rsidRDefault="00F9354F" w:rsidP="00AA0507">
      <w:pPr>
        <w:ind w:left="709" w:hanging="709"/>
        <w:jc w:val="both"/>
        <w:rPr>
          <w:bCs/>
          <w:lang w:val="pt-BR"/>
        </w:rPr>
      </w:pPr>
      <w:r w:rsidRPr="00AA0507">
        <w:rPr>
          <w:color w:val="000000"/>
          <w:lang w:val="pt-BR"/>
        </w:rPr>
        <w:t xml:space="preserve"> </w:t>
      </w:r>
      <w:r w:rsidRPr="00AA0507">
        <w:rPr>
          <w:color w:val="000000"/>
          <w:lang w:val="pt-BR"/>
        </w:rPr>
        <w:tab/>
      </w:r>
      <w:r w:rsidR="0014222E" w:rsidRPr="00AA0507">
        <w:rPr>
          <w:color w:val="000000"/>
          <w:lang w:val="pt-BR"/>
        </w:rPr>
        <w:tab/>
      </w:r>
      <w:r w:rsidR="0014222E" w:rsidRPr="00AA0507">
        <w:rPr>
          <w:color w:val="000000"/>
          <w:lang w:val="pt-BR"/>
        </w:rPr>
        <w:tab/>
      </w:r>
      <w:r w:rsidRPr="00805783">
        <w:rPr>
          <w:color w:val="000000"/>
          <w:lang w:val="pt-BR"/>
        </w:rPr>
        <w:t xml:space="preserve">Prin proiectul de  hotărâre se urmărește, eficientizarea prioritizarea și  asigurarea pazei obiectivelor </w:t>
      </w:r>
      <w:r w:rsidRPr="00805783">
        <w:rPr>
          <w:bCs/>
          <w:lang w:val="pt-BR"/>
        </w:rPr>
        <w:t>și a bunurilor de interes  public și privat aparținând Municipiului Timișoara,  prin raportarea la</w:t>
      </w:r>
      <w:r w:rsidR="007E23AD">
        <w:rPr>
          <w:bCs/>
          <w:lang w:val="pt-BR"/>
        </w:rPr>
        <w:t xml:space="preserve"> </w:t>
      </w:r>
      <w:r w:rsidRPr="00805783">
        <w:rPr>
          <w:bCs/>
          <w:lang w:val="pt-BR"/>
        </w:rPr>
        <w:t xml:space="preserve"> numărul actual de  agenți de securitate (guarzi)  din cadrul Serviciului Pază  Obiective a Direcției Generale a Poliției Locale Timișoara</w:t>
      </w:r>
      <w:r w:rsidR="007E23AD">
        <w:rPr>
          <w:bCs/>
          <w:lang w:val="pt-BR"/>
        </w:rPr>
        <w:t xml:space="preserve">,  riscurile și importanța acestor obiective, </w:t>
      </w:r>
      <w:r w:rsidRPr="00805783">
        <w:rPr>
          <w:color w:val="000000"/>
          <w:lang w:val="pt-BR"/>
        </w:rPr>
        <w:t>în considerarea capacității de utilizare la nivel  maxim a resurselor umane existente la data adoptării acestora.  În</w:t>
      </w:r>
      <w:r w:rsidR="003F4AF8">
        <w:rPr>
          <w:color w:val="000000"/>
          <w:lang w:val="pt-BR"/>
        </w:rPr>
        <w:t xml:space="preserve">trucât obiectivul „INCUBOXX” a fost dat în administrarea Serviciului Public de Administrare a Centrului Regional de Competențe și Dezvoltare a Furnizorilor în Sectorul Automotive – CERC, agesta având un regulament de organizare și funcționare prin care se stabilește compartimentul prin intermediul căruia se asigură paza obiectivului, </w:t>
      </w:r>
      <w:r w:rsidRPr="00805783">
        <w:rPr>
          <w:color w:val="000000"/>
          <w:lang w:val="pt-BR"/>
        </w:rPr>
        <w:t>se impune aprobarea unei noi hotărâri prin care să se</w:t>
      </w:r>
      <w:r w:rsidR="003F4AF8">
        <w:rPr>
          <w:color w:val="000000"/>
          <w:lang w:val="pt-BR"/>
        </w:rPr>
        <w:t xml:space="preserve"> modifice Hotărârea nr. 536/2022 a Consiliului Local al Municipiului Timișoara privind</w:t>
      </w:r>
      <w:r w:rsidRPr="00805783">
        <w:rPr>
          <w:color w:val="000000"/>
          <w:lang w:val="pt-BR"/>
        </w:rPr>
        <w:t xml:space="preserve"> </w:t>
      </w:r>
      <w:r w:rsidR="003F4AF8" w:rsidRPr="003F4AF8">
        <w:rPr>
          <w:bCs/>
          <w:lang w:val="ro-RO"/>
        </w:rPr>
        <w:t>asigurarea pazei și protecției obiectivelor și a bunurilor de interes  public și privat aparținând Municipiului Timișoara, de către personalul contractual (guarzi) din cadrul Serviciului Pază Obiective a Direcției Generale a Poliției Locale Timișoara</w:t>
      </w:r>
    </w:p>
    <w:p w14:paraId="6B75A4ED" w14:textId="77777777" w:rsidR="00F9354F" w:rsidRPr="00805783" w:rsidRDefault="00F9354F" w:rsidP="00805783">
      <w:pPr>
        <w:jc w:val="both"/>
        <w:rPr>
          <w:i/>
          <w:lang w:val="pt-BR"/>
        </w:rPr>
      </w:pPr>
    </w:p>
    <w:p w14:paraId="7837CFD6" w14:textId="77777777" w:rsidR="000D72E9" w:rsidRPr="00805783" w:rsidRDefault="00F9354F" w:rsidP="00805783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805783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14:paraId="5F042C6A" w14:textId="3E1A7984" w:rsidR="000D72E9" w:rsidRPr="00805783" w:rsidRDefault="000D72E9" w:rsidP="00805783">
      <w:pPr>
        <w:pStyle w:val="Listparagraf"/>
        <w:spacing w:line="240" w:lineRule="auto"/>
        <w:ind w:firstLine="72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805783">
        <w:rPr>
          <w:rFonts w:ascii="Times New Roman" w:hAnsi="Times New Roman"/>
          <w:spacing w:val="-1"/>
          <w:sz w:val="24"/>
          <w:szCs w:val="24"/>
          <w:lang w:val="pt-BR"/>
        </w:rPr>
        <w:t>Având în vedere cele prezentate mai sus, considerăm necesară aprobarea</w:t>
      </w:r>
      <w:r w:rsidR="00F9354F" w:rsidRPr="00805783">
        <w:rPr>
          <w:rFonts w:ascii="Times New Roman" w:hAnsi="Times New Roman"/>
          <w:color w:val="000000"/>
          <w:sz w:val="24"/>
          <w:szCs w:val="24"/>
          <w:lang w:val="pt-BR"/>
        </w:rPr>
        <w:t xml:space="preserve"> proiectul de hotărâre </w:t>
      </w:r>
      <w:r w:rsidR="00F9354F" w:rsidRPr="00805783">
        <w:rPr>
          <w:rFonts w:ascii="Times New Roman" w:hAnsi="Times New Roman"/>
          <w:sz w:val="24"/>
          <w:szCs w:val="24"/>
          <w:lang w:val="pt-BR"/>
        </w:rPr>
        <w:t>privind</w:t>
      </w:r>
      <w:r w:rsidR="003F4AF8">
        <w:rPr>
          <w:rFonts w:ascii="Times New Roman" w:hAnsi="Times New Roman"/>
          <w:sz w:val="24"/>
          <w:szCs w:val="24"/>
          <w:lang w:val="pt-BR"/>
        </w:rPr>
        <w:t xml:space="preserve"> modificarea Hotărârii nr. 536/2022 a Consiliului Local al Municipiului Timișoara privind</w:t>
      </w:r>
      <w:r w:rsidR="00F9354F" w:rsidRPr="00805783">
        <w:rPr>
          <w:rFonts w:ascii="Times New Roman" w:hAnsi="Times New Roman"/>
          <w:sz w:val="24"/>
          <w:szCs w:val="24"/>
          <w:lang w:val="pt-BR"/>
        </w:rPr>
        <w:t xml:space="preserve">  asigurarea pazei și protecției obiectivelor și a bunurilor de interes  public și privat aparținând Municipiului Timișoara, de către personalul contractual (guarzi) din cadrul Serviciului Pază Obiective a Direcției Generale a Poliției Locale Timișoara.</w:t>
      </w:r>
    </w:p>
    <w:p w14:paraId="32075CF2" w14:textId="77777777" w:rsidR="00F9354F" w:rsidRPr="00E04C5C" w:rsidRDefault="00F9354F" w:rsidP="008126B3">
      <w:pPr>
        <w:pStyle w:val="Frspaiere"/>
        <w:spacing w:line="276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5F857539" w14:textId="77777777" w:rsidR="00F9354F" w:rsidRPr="00F9354F" w:rsidRDefault="00F9354F" w:rsidP="008126B3">
      <w:pPr>
        <w:spacing w:line="276" w:lineRule="auto"/>
        <w:rPr>
          <w:lang w:val="pt-BR"/>
        </w:rPr>
      </w:pPr>
    </w:p>
    <w:p w14:paraId="0E5CE02D" w14:textId="57D89F53" w:rsidR="00713945" w:rsidRDefault="000D72E9" w:rsidP="008126B3">
      <w:pPr>
        <w:spacing w:line="276" w:lineRule="auto"/>
        <w:ind w:firstLine="360"/>
        <w:rPr>
          <w:b/>
          <w:lang w:val="pt-BR"/>
        </w:rPr>
      </w:pPr>
      <w:r>
        <w:rPr>
          <w:b/>
          <w:lang w:val="pt-BR"/>
        </w:rPr>
        <w:t xml:space="preserve">        </w:t>
      </w:r>
      <w:r w:rsidR="00F9354F" w:rsidRPr="00F9354F">
        <w:rPr>
          <w:b/>
          <w:lang w:val="pt-BR"/>
        </w:rPr>
        <w:t>PRIMAR</w:t>
      </w:r>
      <w:r w:rsidR="00F9354F" w:rsidRPr="00F9354F">
        <w:rPr>
          <w:b/>
          <w:lang w:val="pt-BR"/>
        </w:rPr>
        <w:tab/>
      </w:r>
      <w:r w:rsidR="00F9354F" w:rsidRPr="00F9354F">
        <w:rPr>
          <w:b/>
          <w:lang w:val="pt-BR"/>
        </w:rPr>
        <w:tab/>
      </w:r>
      <w:r w:rsidR="00F9354F" w:rsidRPr="00F9354F">
        <w:rPr>
          <w:b/>
          <w:lang w:val="pt-BR"/>
        </w:rPr>
        <w:tab/>
      </w:r>
      <w:r w:rsidR="00F9354F" w:rsidRPr="00F9354F">
        <w:rPr>
          <w:b/>
          <w:lang w:val="pt-BR"/>
        </w:rPr>
        <w:tab/>
      </w:r>
      <w:r w:rsidR="00F9354F" w:rsidRPr="00F9354F">
        <w:rPr>
          <w:b/>
          <w:lang w:val="pt-BR"/>
        </w:rPr>
        <w:tab/>
        <w:t xml:space="preserve">                      </w:t>
      </w:r>
      <w:r>
        <w:rPr>
          <w:b/>
          <w:lang w:val="pt-BR"/>
        </w:rPr>
        <w:t xml:space="preserve">       </w:t>
      </w:r>
      <w:r w:rsidR="007C585F">
        <w:rPr>
          <w:b/>
          <w:lang w:val="pt-BR"/>
        </w:rPr>
        <w:t>ADMINISTRATOR PUBLIC</w:t>
      </w:r>
      <w:r w:rsidR="00F9354F" w:rsidRPr="00F9354F">
        <w:rPr>
          <w:b/>
          <w:lang w:val="pt-BR"/>
        </w:rPr>
        <w:t xml:space="preserve">  </w:t>
      </w:r>
    </w:p>
    <w:p w14:paraId="15CCDCD1" w14:textId="3BE3E283" w:rsidR="00F9354F" w:rsidRPr="00F9354F" w:rsidRDefault="00713945" w:rsidP="008126B3">
      <w:pPr>
        <w:spacing w:line="276" w:lineRule="auto"/>
        <w:ind w:firstLine="360"/>
        <w:rPr>
          <w:b/>
          <w:lang w:val="pt-BR"/>
        </w:rPr>
      </w:pPr>
      <w:r>
        <w:rPr>
          <w:b/>
          <w:lang w:val="pt-BR"/>
        </w:rPr>
        <w:t xml:space="preserve">  DOMINIC FRITZ</w:t>
      </w:r>
      <w:r w:rsidR="00F9354F" w:rsidRPr="00F9354F">
        <w:rPr>
          <w:b/>
          <w:lang w:val="pt-BR"/>
        </w:rPr>
        <w:t xml:space="preserve">       </w:t>
      </w:r>
      <w:r w:rsidR="00F9354F" w:rsidRPr="00F9354F">
        <w:rPr>
          <w:b/>
          <w:lang w:val="pt-BR"/>
        </w:rPr>
        <w:tab/>
      </w:r>
      <w:r w:rsidR="00F9354F" w:rsidRPr="00F9354F">
        <w:rPr>
          <w:b/>
          <w:lang w:val="pt-BR"/>
        </w:rPr>
        <w:tab/>
      </w:r>
      <w:r w:rsidR="00F9354F" w:rsidRPr="00F9354F">
        <w:rPr>
          <w:b/>
          <w:lang w:val="pt-BR"/>
        </w:rPr>
        <w:tab/>
      </w:r>
      <w:r w:rsidR="00F9354F" w:rsidRPr="00F9354F">
        <w:rPr>
          <w:b/>
          <w:lang w:val="pt-BR"/>
        </w:rPr>
        <w:tab/>
      </w:r>
      <w:r w:rsidR="00F9354F" w:rsidRPr="00F9354F">
        <w:rPr>
          <w:b/>
          <w:lang w:val="pt-BR"/>
        </w:rPr>
        <w:tab/>
      </w:r>
      <w:r>
        <w:rPr>
          <w:b/>
          <w:lang w:val="pt-BR"/>
        </w:rPr>
        <w:t xml:space="preserve">             </w:t>
      </w:r>
      <w:r w:rsidR="007C585F">
        <w:rPr>
          <w:b/>
          <w:lang w:val="pt-BR"/>
        </w:rPr>
        <w:t xml:space="preserve">          MATEI CR</w:t>
      </w:r>
      <w:r w:rsidR="003C7844">
        <w:rPr>
          <w:b/>
          <w:lang w:val="pt-BR"/>
        </w:rPr>
        <w:t>E</w:t>
      </w:r>
      <w:r w:rsidR="007C585F">
        <w:rPr>
          <w:b/>
          <w:lang w:val="pt-BR"/>
        </w:rPr>
        <w:t>IVEANU</w:t>
      </w:r>
    </w:p>
    <w:p w14:paraId="01E65C10" w14:textId="3DC6CB21" w:rsidR="00F9354F" w:rsidRPr="00F9354F" w:rsidRDefault="00F9354F" w:rsidP="008126B3">
      <w:pPr>
        <w:spacing w:line="276" w:lineRule="auto"/>
        <w:jc w:val="both"/>
        <w:rPr>
          <w:b/>
          <w:lang w:val="pt-BR"/>
        </w:rPr>
      </w:pPr>
      <w:r w:rsidRPr="00F9354F">
        <w:rPr>
          <w:b/>
          <w:lang w:val="pt-BR"/>
        </w:rPr>
        <w:tab/>
      </w:r>
      <w:r w:rsidRPr="00F9354F">
        <w:rPr>
          <w:b/>
          <w:lang w:val="pt-BR"/>
        </w:rPr>
        <w:tab/>
      </w:r>
      <w:r w:rsidRPr="00F9354F">
        <w:rPr>
          <w:b/>
          <w:lang w:val="pt-BR"/>
        </w:rPr>
        <w:tab/>
      </w:r>
      <w:r w:rsidRPr="00F9354F">
        <w:rPr>
          <w:b/>
          <w:lang w:val="pt-BR"/>
        </w:rPr>
        <w:tab/>
      </w:r>
      <w:r w:rsidRPr="00F9354F">
        <w:rPr>
          <w:b/>
          <w:lang w:val="pt-BR"/>
        </w:rPr>
        <w:tab/>
      </w:r>
      <w:r w:rsidRPr="00F9354F">
        <w:rPr>
          <w:b/>
          <w:lang w:val="pt-BR"/>
        </w:rPr>
        <w:tab/>
      </w:r>
    </w:p>
    <w:p w14:paraId="417895D5" w14:textId="0EB54BC4" w:rsidR="000D72E9" w:rsidRDefault="000D72E9" w:rsidP="00805783">
      <w:pPr>
        <w:spacing w:line="276" w:lineRule="auto"/>
        <w:jc w:val="both"/>
        <w:rPr>
          <w:lang w:val="ro-RO"/>
        </w:rPr>
      </w:pPr>
    </w:p>
    <w:p w14:paraId="73CEDD06" w14:textId="77777777" w:rsidR="00FE6DE2" w:rsidRDefault="00FE6DE2" w:rsidP="00805783">
      <w:pPr>
        <w:spacing w:line="276" w:lineRule="auto"/>
        <w:jc w:val="both"/>
        <w:rPr>
          <w:lang w:val="ro-RO"/>
        </w:rPr>
      </w:pPr>
    </w:p>
    <w:p w14:paraId="06CCCC5A" w14:textId="77777777" w:rsidR="00FE6DE2" w:rsidRDefault="00FE6DE2" w:rsidP="00805783">
      <w:pPr>
        <w:spacing w:line="276" w:lineRule="auto"/>
        <w:jc w:val="both"/>
        <w:rPr>
          <w:lang w:val="ro-RO"/>
        </w:rPr>
      </w:pPr>
    </w:p>
    <w:p w14:paraId="156996C9" w14:textId="77777777" w:rsidR="00FE6DE2" w:rsidRDefault="00FE6DE2" w:rsidP="00805783">
      <w:pPr>
        <w:spacing w:line="276" w:lineRule="auto"/>
        <w:jc w:val="both"/>
        <w:rPr>
          <w:lang w:val="ro-RO"/>
        </w:rPr>
      </w:pPr>
    </w:p>
    <w:p w14:paraId="3830A4EC" w14:textId="77777777" w:rsidR="000D72E9" w:rsidRDefault="000D72E9" w:rsidP="00F9354F">
      <w:pPr>
        <w:jc w:val="both"/>
        <w:rPr>
          <w:lang w:val="ro-RO"/>
        </w:rPr>
      </w:pPr>
    </w:p>
    <w:p w14:paraId="5FBA7938" w14:textId="0ECA68ED" w:rsidR="00A972D1" w:rsidRPr="000D72E9" w:rsidRDefault="00C17E0A" w:rsidP="00FE6DE2">
      <w:pPr>
        <w:jc w:val="both"/>
        <w:rPr>
          <w:lang w:val="pt-BR"/>
        </w:rPr>
      </w:pPr>
      <w:r w:rsidRPr="00805783">
        <w:rPr>
          <w:lang w:val="ro-RO"/>
        </w:rPr>
        <w:t xml:space="preserve">                                                                                                                      </w:t>
      </w:r>
      <w:r w:rsidR="00F9354F" w:rsidRPr="00805783">
        <w:rPr>
          <w:lang w:val="ro-RO"/>
        </w:rPr>
        <w:t>Cod FO53-03,Ver.3</w:t>
      </w:r>
    </w:p>
    <w:sectPr w:rsidR="00A972D1" w:rsidRPr="000D72E9" w:rsidSect="000D4615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3AB9"/>
    <w:multiLevelType w:val="hybridMultilevel"/>
    <w:tmpl w:val="BBB0D258"/>
    <w:lvl w:ilvl="0" w:tplc="9D60150C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7D501DA"/>
    <w:multiLevelType w:val="hybridMultilevel"/>
    <w:tmpl w:val="23DC329C"/>
    <w:lvl w:ilvl="0" w:tplc="04090011">
      <w:start w:val="1"/>
      <w:numFmt w:val="decimal"/>
      <w:lvlText w:val="%1)"/>
      <w:lvlJc w:val="left"/>
      <w:pPr>
        <w:ind w:left="1068" w:hanging="360"/>
      </w:p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640621">
    <w:abstractNumId w:val="2"/>
  </w:num>
  <w:num w:numId="2" w16cid:durableId="69498564">
    <w:abstractNumId w:val="0"/>
  </w:num>
  <w:num w:numId="3" w16cid:durableId="449518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4F"/>
    <w:rsid w:val="000D4615"/>
    <w:rsid w:val="000D72E9"/>
    <w:rsid w:val="0014222E"/>
    <w:rsid w:val="00200286"/>
    <w:rsid w:val="003C7844"/>
    <w:rsid w:val="003F4AF8"/>
    <w:rsid w:val="005648F3"/>
    <w:rsid w:val="005A6082"/>
    <w:rsid w:val="00615F8B"/>
    <w:rsid w:val="0065411B"/>
    <w:rsid w:val="00713945"/>
    <w:rsid w:val="0075084B"/>
    <w:rsid w:val="007C585F"/>
    <w:rsid w:val="007E23AD"/>
    <w:rsid w:val="00805783"/>
    <w:rsid w:val="008126B3"/>
    <w:rsid w:val="00A972D1"/>
    <w:rsid w:val="00AA0507"/>
    <w:rsid w:val="00AF3C29"/>
    <w:rsid w:val="00C17E0A"/>
    <w:rsid w:val="00CB0AC6"/>
    <w:rsid w:val="00E40EC9"/>
    <w:rsid w:val="00F9354F"/>
    <w:rsid w:val="00F953AC"/>
    <w:rsid w:val="00FE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7784"/>
  <w15:chartTrackingRefBased/>
  <w15:docId w15:val="{49D31812-24BA-4003-8BCC-FA6D5604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54F"/>
    <w:rPr>
      <w:rFonts w:eastAsia="Times New Roman" w:cs="Times New Roman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935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Frspaiere">
    <w:name w:val="No Spacing"/>
    <w:uiPriority w:val="1"/>
    <w:qFormat/>
    <w:rsid w:val="00F9354F"/>
    <w:rPr>
      <w:rFonts w:ascii="Calibri" w:eastAsia="Calibri" w:hAnsi="Calibri" w:cs="Times New Roman"/>
      <w:sz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C5118-BE7D-485B-BE88-B3453273F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1068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Blajin</dc:creator>
  <cp:keywords/>
  <dc:description/>
  <cp:lastModifiedBy>D M</cp:lastModifiedBy>
  <cp:revision>7</cp:revision>
  <cp:lastPrinted>2023-08-30T11:51:00Z</cp:lastPrinted>
  <dcterms:created xsi:type="dcterms:W3CDTF">2023-08-18T06:36:00Z</dcterms:created>
  <dcterms:modified xsi:type="dcterms:W3CDTF">2023-08-31T06:10:00Z</dcterms:modified>
</cp:coreProperties>
</file>