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355606" w:rsidRDefault="007E33CB" w:rsidP="000C6154">
      <w:pPr>
        <w:pStyle w:val="NoSpacing"/>
        <w:jc w:val="center"/>
        <w:rPr>
          <w:rFonts w:ascii="Times New Roman" w:hAnsi="Times New Roman"/>
          <w:b/>
          <w:sz w:val="22"/>
          <w:szCs w:val="22"/>
          <w:lang w:val="it-IT"/>
        </w:rPr>
      </w:pPr>
      <w:r w:rsidRPr="00355606">
        <w:rPr>
          <w:rFonts w:ascii="Times New Roman" w:hAnsi="Times New Roman"/>
          <w:b/>
          <w:sz w:val="22"/>
          <w:szCs w:val="22"/>
          <w:lang w:val="it-IT"/>
        </w:rPr>
        <w:t>p</w:t>
      </w:r>
      <w:r w:rsidR="00B17832" w:rsidRPr="00355606">
        <w:rPr>
          <w:rFonts w:ascii="Times New Roman" w:hAnsi="Times New Roman"/>
          <w:b/>
          <w:sz w:val="22"/>
          <w:szCs w:val="22"/>
          <w:lang w:val="it-IT"/>
        </w:rPr>
        <w:t xml:space="preserve">rivind </w:t>
      </w:r>
      <w:r w:rsidR="00EE3513" w:rsidRPr="00355606">
        <w:rPr>
          <w:rFonts w:ascii="Times New Roman" w:eastAsia="Calibri" w:hAnsi="Times New Roman"/>
          <w:b/>
          <w:bCs/>
          <w:color w:val="000000"/>
          <w:sz w:val="22"/>
          <w:szCs w:val="22"/>
          <w:lang w:val="it-IT"/>
        </w:rPr>
        <w:t xml:space="preserve">majorarea cu  </w:t>
      </w:r>
      <w:r w:rsidR="00355606" w:rsidRPr="00355606">
        <w:rPr>
          <w:rFonts w:ascii="Times New Roman" w:eastAsia="Calibri" w:hAnsi="Times New Roman"/>
          <w:b/>
          <w:bCs/>
          <w:color w:val="000000"/>
          <w:sz w:val="22"/>
          <w:szCs w:val="22"/>
          <w:lang w:val="it-IT"/>
        </w:rPr>
        <w:t>300</w:t>
      </w:r>
      <w:r w:rsidR="00EE3513" w:rsidRPr="00355606">
        <w:rPr>
          <w:rFonts w:ascii="Times New Roman" w:eastAsia="Calibri" w:hAnsi="Times New Roman"/>
          <w:b/>
          <w:bCs/>
          <w:color w:val="000000"/>
          <w:sz w:val="22"/>
          <w:szCs w:val="22"/>
          <w:lang w:val="it-IT"/>
        </w:rPr>
        <w:t>% a impozitului pe clădiri începâ</w:t>
      </w:r>
      <w:r w:rsidR="00810F24" w:rsidRPr="00355606">
        <w:rPr>
          <w:rFonts w:ascii="Times New Roman" w:eastAsia="Calibri" w:hAnsi="Times New Roman"/>
          <w:b/>
          <w:bCs/>
          <w:color w:val="000000"/>
          <w:sz w:val="22"/>
          <w:szCs w:val="22"/>
          <w:lang w:val="it-IT"/>
        </w:rPr>
        <w:t>nd cu anul 2022</w:t>
      </w:r>
      <w:r w:rsidR="00EE3513" w:rsidRPr="00355606">
        <w:rPr>
          <w:rFonts w:ascii="Times New Roman" w:eastAsia="Calibri" w:hAnsi="Times New Roman"/>
          <w:b/>
          <w:bCs/>
          <w:color w:val="000000"/>
          <w:sz w:val="22"/>
          <w:szCs w:val="22"/>
          <w:lang w:val="it-IT"/>
        </w:rPr>
        <w:t xml:space="preserve">, pentru imobilul situat în Timişoara,  </w:t>
      </w:r>
      <w:r w:rsidR="00355606" w:rsidRPr="00355606">
        <w:rPr>
          <w:rFonts w:ascii="Times New Roman" w:eastAsia="Calibri" w:hAnsi="Times New Roman"/>
          <w:b/>
          <w:bCs/>
          <w:color w:val="000000"/>
          <w:sz w:val="22"/>
          <w:szCs w:val="22"/>
          <w:lang w:val="it-IT"/>
        </w:rPr>
        <w:t xml:space="preserve">str. </w:t>
      </w:r>
      <w:r w:rsidR="00355606" w:rsidRPr="00355606">
        <w:rPr>
          <w:rFonts w:ascii="Times New Roman" w:hAnsi="Times New Roman"/>
          <w:b/>
          <w:sz w:val="22"/>
          <w:szCs w:val="22"/>
        </w:rPr>
        <w:t>Florimund Mercy, nr. 5</w:t>
      </w:r>
      <w:r w:rsidR="00EE3513" w:rsidRPr="00355606">
        <w:rPr>
          <w:rFonts w:ascii="Times New Roman" w:eastAsia="Calibri" w:hAnsi="Times New Roman"/>
          <w:b/>
          <w:bCs/>
          <w:color w:val="000000"/>
          <w:sz w:val="22"/>
          <w:szCs w:val="22"/>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DA738E" w:rsidRPr="00DA738E">
        <w:rPr>
          <w:rFonts w:ascii="Times New Roman" w:hAnsi="Times New Roman"/>
          <w:sz w:val="24"/>
        </w:rPr>
        <w:t>12359/</w:t>
      </w:r>
      <w:r w:rsidR="00BC738B">
        <w:rPr>
          <w:rFonts w:ascii="Times New Roman" w:hAnsi="Times New Roman"/>
          <w:sz w:val="24"/>
        </w:rPr>
        <w:t>17.12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C738B">
        <w:rPr>
          <w:rFonts w:ascii="Times New Roman" w:hAnsi="Times New Roman"/>
          <w:sz w:val="24"/>
        </w:rPr>
        <w:t>12359/17</w:t>
      </w:r>
      <w:r w:rsidR="00DA738E" w:rsidRPr="00DA738E">
        <w:rPr>
          <w:rFonts w:ascii="Times New Roman" w:hAnsi="Times New Roman"/>
          <w:sz w:val="24"/>
        </w:rPr>
        <w:t>.</w:t>
      </w:r>
      <w:r w:rsidR="00E45041">
        <w:rPr>
          <w:rFonts w:ascii="Times New Roman" w:hAnsi="Times New Roman"/>
          <w:sz w:val="24"/>
        </w:rPr>
        <w:t>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C738B">
        <w:rPr>
          <w:rFonts w:ascii="Times New Roman" w:hAnsi="Times New Roman"/>
          <w:sz w:val="24"/>
        </w:rPr>
        <w:t>12359/17.12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355606" w:rsidRPr="00355606">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355606" w:rsidRPr="00355606">
        <w:rPr>
          <w:rFonts w:ascii="Times New Roman" w:eastAsia="Calibri" w:hAnsi="Times New Roman"/>
          <w:bCs/>
          <w:color w:val="000000"/>
          <w:sz w:val="22"/>
          <w:szCs w:val="22"/>
          <w:lang w:val="it-IT"/>
        </w:rPr>
        <w:t xml:space="preserve">str. </w:t>
      </w:r>
      <w:r w:rsidR="00355606" w:rsidRPr="00355606">
        <w:rPr>
          <w:rFonts w:ascii="Times New Roman" w:hAnsi="Times New Roman"/>
          <w:sz w:val="22"/>
          <w:szCs w:val="22"/>
        </w:rPr>
        <w:t>Florimund Mercy, nr. 5</w:t>
      </w:r>
      <w:r w:rsidRPr="00355606">
        <w:rPr>
          <w:rFonts w:ascii="Times New Roman" w:eastAsia="Calibri" w:hAnsi="Times New Roman"/>
          <w:color w:val="000000"/>
          <w:sz w:val="24"/>
          <w:lang w:val="it-IT"/>
        </w:rPr>
        <w:t>,</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C7D" w:rsidRDefault="00646C7D" w:rsidP="00F40BE1">
      <w:pPr>
        <w:spacing w:before="0" w:after="0"/>
      </w:pPr>
      <w:r>
        <w:separator/>
      </w:r>
    </w:p>
  </w:endnote>
  <w:endnote w:type="continuationSeparator" w:id="1">
    <w:p w:rsidR="00646C7D" w:rsidRDefault="00646C7D"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C7D" w:rsidRDefault="00646C7D" w:rsidP="00F40BE1">
      <w:pPr>
        <w:spacing w:before="0" w:after="0"/>
      </w:pPr>
      <w:r>
        <w:separator/>
      </w:r>
    </w:p>
  </w:footnote>
  <w:footnote w:type="continuationSeparator" w:id="1">
    <w:p w:rsidR="00646C7D" w:rsidRDefault="00646C7D"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67B0A"/>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606"/>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4089"/>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46C7D"/>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041"/>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A7BC6"/>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7</cp:revision>
  <cp:lastPrinted>2021-12-17T11:23:00Z</cp:lastPrinted>
  <dcterms:created xsi:type="dcterms:W3CDTF">2021-12-16T14:06:00Z</dcterms:created>
  <dcterms:modified xsi:type="dcterms:W3CDTF">2021-12-20T15:07:00Z</dcterms:modified>
</cp:coreProperties>
</file>