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Rule="auto"/>
        <w:ind w:left="425.19685039370086" w:right="145.27559055118218" w:firstLine="0"/>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Nr. 18387/21.09.2023</w:t>
      </w:r>
    </w:p>
    <w:p w:rsidR="00000000" w:rsidDel="00000000" w:rsidP="00000000" w:rsidRDefault="00000000" w:rsidRPr="00000000" w14:paraId="00000002">
      <w:pPr>
        <w:pStyle w:val="Heading1"/>
        <w:spacing w:after="0" w:lineRule="auto"/>
        <w:ind w:left="425.19685039370086" w:right="145.27559055118218" w:firstLine="0"/>
        <w:jc w:val="center"/>
        <w:rPr>
          <w:rFonts w:ascii="Times New Roman" w:cs="Times New Roman" w:eastAsia="Times New Roman" w:hAnsi="Times New Roman"/>
          <w:sz w:val="40"/>
          <w:szCs w:val="40"/>
        </w:rPr>
      </w:pPr>
      <w:bookmarkStart w:colFirst="0" w:colLast="0" w:name="_heading=h.rkcdse5iwinw" w:id="1"/>
      <w:bookmarkEnd w:id="1"/>
      <w:r w:rsidDel="00000000" w:rsidR="00000000" w:rsidRPr="00000000">
        <w:rPr>
          <w:rFonts w:ascii="Times New Roman" w:cs="Times New Roman" w:eastAsia="Times New Roman" w:hAnsi="Times New Roman"/>
          <w:sz w:val="40"/>
          <w:szCs w:val="40"/>
          <w:rtl w:val="0"/>
        </w:rPr>
        <w:t xml:space="preserve">REFERAT DE APROBARE </w:t>
      </w:r>
    </w:p>
    <w:p w:rsidR="00000000" w:rsidDel="00000000" w:rsidP="00000000" w:rsidRDefault="00000000" w:rsidRPr="00000000" w14:paraId="00000003">
      <w:pPr>
        <w:pStyle w:val="Heading1"/>
        <w:spacing w:after="200" w:before="0" w:lineRule="auto"/>
        <w:ind w:left="425.19685039370086" w:right="145.27559055118218" w:firstLine="0"/>
        <w:jc w:val="center"/>
        <w:rPr>
          <w:rFonts w:ascii="Times New Roman" w:cs="Times New Roman" w:eastAsia="Times New Roman" w:hAnsi="Times New Roman"/>
          <w:sz w:val="40"/>
          <w:szCs w:val="40"/>
        </w:rPr>
      </w:pPr>
      <w:bookmarkStart w:colFirst="0" w:colLast="0" w:name="_heading=h.3gvzcabovin6" w:id="2"/>
      <w:bookmarkEnd w:id="2"/>
      <w:r w:rsidDel="00000000" w:rsidR="00000000" w:rsidRPr="00000000">
        <w:rPr>
          <w:rFonts w:ascii="Times New Roman" w:cs="Times New Roman" w:eastAsia="Times New Roman" w:hAnsi="Times New Roman"/>
          <w:sz w:val="40"/>
          <w:szCs w:val="40"/>
          <w:rtl w:val="0"/>
        </w:rPr>
        <w:t xml:space="preserve">A PROIECTULUI DE HOTĂRÂRE</w:t>
      </w:r>
    </w:p>
    <w:p w:rsidR="00000000" w:rsidDel="00000000" w:rsidP="00000000" w:rsidRDefault="00000000" w:rsidRPr="00000000" w14:paraId="00000004">
      <w:pPr>
        <w:spacing w:after="200" w:before="324" w:lineRule="auto"/>
        <w:ind w:left="425.19685039370086" w:right="145.27559055118218"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1 </w:t>
        <w:br w:type="textWrapping"/>
        <w:t xml:space="preserve">Titlul proiectului de hotărâre</w:t>
      </w:r>
    </w:p>
    <w:p w:rsidR="00000000" w:rsidDel="00000000" w:rsidP="00000000" w:rsidRDefault="00000000" w:rsidRPr="00000000" w14:paraId="00000005">
      <w:pPr>
        <w:spacing w:after="200" w:lineRule="auto"/>
        <w:ind w:left="425.19685039370086" w:right="145.27559055118218" w:firstLine="0"/>
        <w:jc w:val="center"/>
        <w:rPr>
          <w:rFonts w:ascii="Times New Roman" w:cs="Times New Roman" w:eastAsia="Times New Roman" w:hAnsi="Times New Roman"/>
          <w:b w:val="1"/>
          <w:i w:val="1"/>
          <w:sz w:val="24"/>
          <w:szCs w:val="24"/>
        </w:rPr>
      </w:pPr>
      <w:bookmarkStart w:colFirst="0" w:colLast="0" w:name="_heading=h.30j0zll" w:id="3"/>
      <w:bookmarkEnd w:id="3"/>
      <w:r w:rsidDel="00000000" w:rsidR="00000000" w:rsidRPr="00000000">
        <w:rPr>
          <w:rFonts w:ascii="Times New Roman" w:cs="Times New Roman" w:eastAsia="Times New Roman" w:hAnsi="Times New Roman"/>
          <w:sz w:val="24"/>
          <w:szCs w:val="24"/>
          <w:rtl w:val="0"/>
        </w:rPr>
        <w:t xml:space="preserve">Aprobarea disponibilității resurselor proprii și disponibilitatea temporară a fondurilor pentru implementare activități până la rambursare pentru Direcția de Asistență Socială a Municipiului Timișoara în cadrul proiectului</w:t>
      </w:r>
      <w:r w:rsidDel="00000000" w:rsidR="00000000" w:rsidRPr="00000000">
        <w:rPr>
          <w:rFonts w:ascii="Times New Roman" w:cs="Times New Roman" w:eastAsia="Times New Roman" w:hAnsi="Times New Roman"/>
          <w:b w:val="1"/>
          <w:sz w:val="24"/>
          <w:szCs w:val="24"/>
          <w:rtl w:val="0"/>
        </w:rPr>
        <w:t xml:space="preserve"> SENIOR: </w:t>
      </w:r>
      <w:r w:rsidDel="00000000" w:rsidR="00000000" w:rsidRPr="00000000">
        <w:rPr>
          <w:rFonts w:ascii="Times New Roman" w:cs="Times New Roman" w:eastAsia="Times New Roman" w:hAnsi="Times New Roman"/>
          <w:b w:val="1"/>
          <w:sz w:val="24"/>
          <w:szCs w:val="24"/>
          <w:highlight w:val="white"/>
          <w:rtl w:val="0"/>
        </w:rPr>
        <w:t xml:space="preserve">Smart Engagement Network Involving Older Residents in Timisoara and Szeged</w:t>
      </w:r>
      <w:r w:rsidDel="00000000" w:rsidR="00000000" w:rsidRPr="00000000">
        <w:rPr>
          <w:rFonts w:ascii="Times New Roman" w:cs="Times New Roman" w:eastAsia="Times New Roman" w:hAnsi="Times New Roman"/>
          <w:sz w:val="24"/>
          <w:szCs w:val="24"/>
          <w:rtl w:val="0"/>
        </w:rPr>
        <w:t xml:space="preserve"> (id ROHU00332)</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06">
      <w:pPr>
        <w:spacing w:after="200" w:lineRule="auto"/>
        <w:ind w:left="425.19685039370086" w:right="145.27559055118218"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Secțiunea a 2 - a </w:t>
        <w:br w:type="textWrapping"/>
        <w:t xml:space="preserve">Motivul emiterii proiectului de hotărâre</w:t>
      </w:r>
    </w:p>
    <w:p w:rsidR="00000000" w:rsidDel="00000000" w:rsidP="00000000" w:rsidRDefault="00000000" w:rsidRPr="00000000" w14:paraId="00000007">
      <w:pPr>
        <w:numPr>
          <w:ilvl w:val="0"/>
          <w:numId w:val="2"/>
        </w:numPr>
        <w:spacing w:after="200" w:lineRule="auto"/>
        <w:ind w:left="425.19685039370086" w:right="145.27559055118218"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Descrierea situației actuale: </w:t>
      </w:r>
    </w:p>
    <w:p w:rsidR="00000000" w:rsidDel="00000000" w:rsidP="00000000" w:rsidRDefault="00000000" w:rsidRPr="00000000" w14:paraId="00000008">
      <w:pPr>
        <w:spacing w:after="200" w:lineRule="auto"/>
        <w:ind w:left="425.19685039370086" w:right="145.27559055118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Direcția de Asistență Socială a Municipiului Timișoara, în calitate de partener, a elaborat secțiunile aferente cererii de finanțare pentru proiectul</w:t>
      </w:r>
      <w:r w:rsidDel="00000000" w:rsidR="00000000" w:rsidRPr="00000000">
        <w:rPr>
          <w:rFonts w:ascii="Times New Roman" w:cs="Times New Roman" w:eastAsia="Times New Roman" w:hAnsi="Times New Roman"/>
          <w:sz w:val="24"/>
          <w:szCs w:val="24"/>
          <w:highlight w:val="white"/>
          <w:rtl w:val="0"/>
        </w:rPr>
        <w:t xml:space="preserve"> SENIOR: </w:t>
      </w:r>
      <w:r w:rsidDel="00000000" w:rsidR="00000000" w:rsidRPr="00000000">
        <w:rPr>
          <w:rFonts w:ascii="Times New Roman" w:cs="Times New Roman" w:eastAsia="Times New Roman" w:hAnsi="Times New Roman"/>
          <w:i w:val="1"/>
          <w:sz w:val="24"/>
          <w:szCs w:val="24"/>
          <w:highlight w:val="white"/>
          <w:rtl w:val="0"/>
        </w:rPr>
        <w:t xml:space="preserve">Smart Engagement Network Involving Older Residents in Timisoara and Szeged / SENIOR: Rețea de implicare inteligentă pentru rezidenți vârstnici din Timișoara și Szeged</w:t>
      </w:r>
      <w:r w:rsidDel="00000000" w:rsidR="00000000" w:rsidRPr="00000000">
        <w:rPr>
          <w:rFonts w:ascii="Times New Roman" w:cs="Times New Roman" w:eastAsia="Times New Roman" w:hAnsi="Times New Roman"/>
          <w:sz w:val="24"/>
          <w:szCs w:val="24"/>
          <w:rtl w:val="0"/>
        </w:rPr>
        <w:t xml:space="preserve"> (id ROHU00332) </w:t>
      </w:r>
      <w:r w:rsidDel="00000000" w:rsidR="00000000" w:rsidRPr="00000000">
        <w:rPr>
          <w:rFonts w:ascii="Times New Roman" w:cs="Times New Roman" w:eastAsia="Times New Roman" w:hAnsi="Times New Roman"/>
          <w:sz w:val="24"/>
          <w:szCs w:val="24"/>
          <w:highlight w:val="white"/>
          <w:rtl w:val="0"/>
        </w:rPr>
        <w:t xml:space="preserve">în vederea obținerii de finanțare externă nerambursabilă prin </w:t>
      </w:r>
      <w:r w:rsidDel="00000000" w:rsidR="00000000" w:rsidRPr="00000000">
        <w:rPr>
          <w:rFonts w:ascii="Times New Roman" w:cs="Times New Roman" w:eastAsia="Times New Roman" w:hAnsi="Times New Roman"/>
          <w:b w:val="1"/>
          <w:sz w:val="24"/>
          <w:szCs w:val="24"/>
          <w:highlight w:val="white"/>
          <w:rtl w:val="0"/>
        </w:rPr>
        <w:t xml:space="preserve">Programul Interreg VI-A România-Ungaria </w:t>
      </w:r>
      <w:r w:rsidDel="00000000" w:rsidR="00000000" w:rsidRPr="00000000">
        <w:rPr>
          <w:rFonts w:ascii="Times New Roman" w:cs="Times New Roman" w:eastAsia="Times New Roman" w:hAnsi="Times New Roman"/>
          <w:sz w:val="24"/>
          <w:szCs w:val="24"/>
          <w:highlight w:val="white"/>
          <w:rtl w:val="0"/>
        </w:rPr>
        <w:t xml:space="preserve">cu termen depunere</w:t>
      </w:r>
      <w:r w:rsidDel="00000000" w:rsidR="00000000" w:rsidRPr="00000000">
        <w:rPr>
          <w:rFonts w:ascii="Times New Roman" w:cs="Times New Roman" w:eastAsia="Times New Roman" w:hAnsi="Times New Roman"/>
          <w:b w:val="1"/>
          <w:sz w:val="24"/>
          <w:szCs w:val="24"/>
          <w:highlight w:val="white"/>
          <w:rtl w:val="0"/>
        </w:rPr>
        <w:t xml:space="preserve"> 27.09.2023.</w:t>
      </w:r>
      <w:r w:rsidDel="00000000" w:rsidR="00000000" w:rsidRPr="00000000">
        <w:rPr>
          <w:rtl w:val="0"/>
        </w:rPr>
      </w:r>
    </w:p>
    <w:p w:rsidR="00000000" w:rsidDel="00000000" w:rsidP="00000000" w:rsidRDefault="00000000" w:rsidRPr="00000000" w14:paraId="00000009">
      <w:pPr>
        <w:spacing w:after="0" w:lineRule="auto"/>
        <w:ind w:left="425.19685039370086" w:right="145.27559055118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propune ca obiectiv general </w:t>
      </w:r>
      <w:r w:rsidDel="00000000" w:rsidR="00000000" w:rsidRPr="00000000">
        <w:rPr>
          <w:rFonts w:ascii="Times New Roman" w:cs="Times New Roman" w:eastAsia="Times New Roman" w:hAnsi="Times New Roman"/>
          <w:b w:val="1"/>
          <w:sz w:val="24"/>
          <w:szCs w:val="24"/>
          <w:rtl w:val="0"/>
        </w:rPr>
        <w:t xml:space="preserve">consolidarea cooperării transfrontaliere pentru persoanele în vârstă active din Timișoara și Szeged</w:t>
      </w:r>
      <w:r w:rsidDel="00000000" w:rsidR="00000000" w:rsidRPr="00000000">
        <w:rPr>
          <w:rFonts w:ascii="Times New Roman" w:cs="Times New Roman" w:eastAsia="Times New Roman" w:hAnsi="Times New Roman"/>
          <w:sz w:val="24"/>
          <w:szCs w:val="24"/>
          <w:rtl w:val="0"/>
        </w:rPr>
        <w:t xml:space="preserve"> prin</w:t>
      </w:r>
    </w:p>
    <w:p w:rsidR="00000000" w:rsidDel="00000000" w:rsidP="00000000" w:rsidRDefault="00000000" w:rsidRPr="00000000" w14:paraId="0000000A">
      <w:pPr>
        <w:numPr>
          <w:ilvl w:val="0"/>
          <w:numId w:val="1"/>
        </w:numPr>
        <w:spacing w:after="0" w:afterAutospacing="0" w:before="0" w:lineRule="auto"/>
        <w:ind w:left="720" w:right="145.275590551182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crearea unei metodologii comune de implicare a seniorilor, dezvoltată în schimburi transfrontaliere, de către specialiști care lucrează cu seniori,</w:t>
      </w:r>
    </w:p>
    <w:p w:rsidR="00000000" w:rsidDel="00000000" w:rsidP="00000000" w:rsidRDefault="00000000" w:rsidRPr="00000000" w14:paraId="0000000B">
      <w:pPr>
        <w:numPr>
          <w:ilvl w:val="0"/>
          <w:numId w:val="1"/>
        </w:numPr>
        <w:spacing w:after="0" w:afterAutospacing="0" w:lineRule="auto"/>
        <w:ind w:left="720" w:right="145.275590551182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implicarea a 90 de vârstnici din fiecare oraș în evenimente culturale locale de fiecare parte, ceea ce duce la creșterea gradului de conștientizare cu privire la moștenirea și tradițiile culturale</w:t>
      </w:r>
    </w:p>
    <w:p w:rsidR="00000000" w:rsidDel="00000000" w:rsidP="00000000" w:rsidRDefault="00000000" w:rsidRPr="00000000" w14:paraId="0000000C">
      <w:pPr>
        <w:numPr>
          <w:ilvl w:val="0"/>
          <w:numId w:val="1"/>
        </w:numPr>
        <w:spacing w:after="200" w:lineRule="auto"/>
        <w:ind w:left="720" w:right="145.275590551182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și realizarea a 3 spectacole comune susținute de 30-45 de seniori, care să fie prezentate în ambele orașe la finalul proiectului.</w:t>
      </w:r>
    </w:p>
    <w:p w:rsidR="00000000" w:rsidDel="00000000" w:rsidP="00000000" w:rsidRDefault="00000000" w:rsidRPr="00000000" w14:paraId="0000000D">
      <w:pPr>
        <w:spacing w:after="200" w:lineRule="auto"/>
        <w:ind w:left="425.19685039370086" w:right="145.27559055118218" w:firstLine="0"/>
        <w:jc w:val="both"/>
        <w:rPr>
          <w:rFonts w:ascii="Times New Roman" w:cs="Times New Roman" w:eastAsia="Times New Roman" w:hAnsi="Times New Roman"/>
          <w:b w:val="1"/>
          <w:color w:val="212529"/>
          <w:sz w:val="24"/>
          <w:szCs w:val="24"/>
          <w:highlight w:val="white"/>
        </w:rPr>
      </w:pPr>
      <w:r w:rsidDel="00000000" w:rsidR="00000000" w:rsidRPr="00000000">
        <w:rPr>
          <w:rFonts w:ascii="Times New Roman" w:cs="Times New Roman" w:eastAsia="Times New Roman" w:hAnsi="Times New Roman"/>
          <w:sz w:val="24"/>
          <w:szCs w:val="24"/>
          <w:rtl w:val="0"/>
        </w:rPr>
        <w:t xml:space="preserve">Durata proiectului va fi de un an, în perioada estimată septembrie 2024 - august 2025.</w:t>
      </w:r>
      <w:r w:rsidDel="00000000" w:rsidR="00000000" w:rsidRPr="00000000">
        <w:rPr>
          <w:rtl w:val="0"/>
        </w:rPr>
      </w:r>
    </w:p>
    <w:p w:rsidR="00000000" w:rsidDel="00000000" w:rsidP="00000000" w:rsidRDefault="00000000" w:rsidRPr="00000000" w14:paraId="0000000E">
      <w:pPr>
        <w:spacing w:after="200" w:lineRule="auto"/>
        <w:ind w:left="425.19685039370086" w:right="145.27559055118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529"/>
          <w:sz w:val="24"/>
          <w:szCs w:val="24"/>
          <w:highlight w:val="white"/>
          <w:rtl w:val="0"/>
        </w:rPr>
        <w:t xml:space="preserve">În vederea depunerii proiectului, conform ghidului de finanțare, pentru </w:t>
      </w:r>
      <w:r w:rsidDel="00000000" w:rsidR="00000000" w:rsidRPr="00000000">
        <w:rPr>
          <w:rFonts w:ascii="Times New Roman" w:cs="Times New Roman" w:eastAsia="Times New Roman" w:hAnsi="Times New Roman"/>
          <w:sz w:val="24"/>
          <w:szCs w:val="24"/>
          <w:rtl w:val="0"/>
        </w:rPr>
        <w:t xml:space="preserve">Direcția de Asistență Socială a Municipiului Timișoara este necesară </w:t>
      </w:r>
      <w:r w:rsidDel="00000000" w:rsidR="00000000" w:rsidRPr="00000000">
        <w:rPr>
          <w:rFonts w:ascii="Times New Roman" w:cs="Times New Roman" w:eastAsia="Times New Roman" w:hAnsi="Times New Roman"/>
          <w:b w:val="1"/>
          <w:sz w:val="24"/>
          <w:szCs w:val="24"/>
          <w:rtl w:val="0"/>
        </w:rPr>
        <w:t xml:space="preserve">aprobarea disponibilității resurselor proprii și disponibilitatea temporară a fondurilor pentru implementare activități până la rambursare.</w:t>
      </w:r>
      <w:r w:rsidDel="00000000" w:rsidR="00000000" w:rsidRPr="00000000">
        <w:rPr>
          <w:rtl w:val="0"/>
        </w:rPr>
      </w:r>
    </w:p>
    <w:p w:rsidR="00000000" w:rsidDel="00000000" w:rsidP="00000000" w:rsidRDefault="00000000" w:rsidRPr="00000000" w14:paraId="0000000F">
      <w:pPr>
        <w:numPr>
          <w:ilvl w:val="0"/>
          <w:numId w:val="2"/>
        </w:numPr>
        <w:spacing w:after="200" w:lineRule="auto"/>
        <w:ind w:left="425.19685039370086" w:right="145.27559055118218"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Schimbări preconizate și rezultate așteptate:</w:t>
      </w:r>
    </w:p>
    <w:p w:rsidR="00000000" w:rsidDel="00000000" w:rsidP="00000000" w:rsidRDefault="00000000" w:rsidRPr="00000000" w14:paraId="00000010">
      <w:pPr>
        <w:spacing w:after="200" w:lineRule="auto"/>
        <w:ind w:left="425.19685039370086" w:right="145.27559055118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va contribui atât la creșterea capacităților beneficiarilor vârstnici implicați, de organizare, cooperare transfrontalieră, folosirea tehnologiei, îmbunătățirea stimei de sine, deschiderea de noi orizonturi, conducând în final la creșterea calității vieții.</w:t>
      </w:r>
    </w:p>
    <w:p w:rsidR="00000000" w:rsidDel="00000000" w:rsidP="00000000" w:rsidRDefault="00000000" w:rsidRPr="00000000" w14:paraId="00000011">
      <w:pPr>
        <w:spacing w:after="200" w:lineRule="auto"/>
        <w:ind w:left="425.19685039370086" w:right="145.27559055118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același timp Direcția de Asistență Socială va beneficia de activitățile și rezultatele proiectului atât din perspectiva profesionalizării angajaților proprii implicați în activități prin creșterea capacității lor de implementare proiecte cu finanțare externă, cooperarea și comunicarea transfrontalieră, adaptarea metodelor de lucru cu vârstnici prin includerea standardelor moderne și schimburilor de experiență cu partenerii unguri, cât și din perspectiva creării de parteneriate locale cu alte organizații care lucrează cu vârstnicii.</w:t>
      </w:r>
    </w:p>
    <w:p w:rsidR="00000000" w:rsidDel="00000000" w:rsidP="00000000" w:rsidRDefault="00000000" w:rsidRPr="00000000" w14:paraId="00000012">
      <w:pPr>
        <w:spacing w:after="200" w:lineRule="auto"/>
        <w:ind w:left="425.19685039370086" w:right="145.275590551182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termen lung DASMT va folosi metodologia creată în proiect pentru implicarea vârstnicilor activi din Timișoara în diferite activități utile comunității și va continua organizarea anuală a schimburilor de experiență pentru vârstnicii din Timișoara și Szeged după finalizarea proiectului.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76" w:lineRule="auto"/>
        <w:ind w:left="425.19685039370086" w:right="145.27559055118218"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Alte informații: nu este cazul</w:t>
      </w:r>
      <w:r w:rsidDel="00000000" w:rsidR="00000000" w:rsidRPr="00000000">
        <w:rPr>
          <w:rtl w:val="0"/>
        </w:rPr>
      </w:r>
    </w:p>
    <w:p w:rsidR="00000000" w:rsidDel="00000000" w:rsidP="00000000" w:rsidRDefault="00000000" w:rsidRPr="00000000" w14:paraId="00000014">
      <w:pPr>
        <w:numPr>
          <w:ilvl w:val="0"/>
          <w:numId w:val="2"/>
        </w:numPr>
        <w:spacing w:after="200" w:lineRule="auto"/>
        <w:ind w:left="425.19685039370086" w:right="145.27559055118218"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Concluzii:</w:t>
      </w:r>
    </w:p>
    <w:p w:rsidR="00000000" w:rsidDel="00000000" w:rsidP="00000000" w:rsidRDefault="00000000" w:rsidRPr="00000000" w14:paraId="00000015">
      <w:pPr>
        <w:spacing w:after="200" w:lineRule="auto"/>
        <w:ind w:left="425.19685039370086" w:right="145.27559055118218"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Pentru considerentele prezentate mai sus, considerăm oportună </w:t>
      </w:r>
      <w:r w:rsidDel="00000000" w:rsidR="00000000" w:rsidRPr="00000000">
        <w:rPr>
          <w:rFonts w:ascii="Times New Roman" w:cs="Times New Roman" w:eastAsia="Times New Roman" w:hAnsi="Times New Roman"/>
          <w:b w:val="1"/>
          <w:sz w:val="24"/>
          <w:szCs w:val="24"/>
          <w:rtl w:val="0"/>
        </w:rPr>
        <w:t xml:space="preserve">aprobarea disponibilității resurselor proprii și disponibilitatea temporară a fondurilor pentru implementare activități până la rambursare pentru Direcția de Asistență Socială a Municipiului Timișoara în cadrul proiectului </w:t>
      </w:r>
      <w:r w:rsidDel="00000000" w:rsidR="00000000" w:rsidRPr="00000000">
        <w:rPr>
          <w:rFonts w:ascii="Times New Roman" w:cs="Times New Roman" w:eastAsia="Times New Roman" w:hAnsi="Times New Roman"/>
          <w:b w:val="1"/>
          <w:sz w:val="24"/>
          <w:szCs w:val="24"/>
          <w:highlight w:val="white"/>
          <w:rtl w:val="0"/>
        </w:rPr>
        <w:t xml:space="preserve">Smart Engagement Network Involving Older Residents in Timisoara and Szeged / SENIOR: Rețea de implicare inteligentă pentru rezidenți vârstnici din Timișoara și Szeged (id ROHU00332)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16">
      <w:pPr>
        <w:spacing w:after="200" w:lineRule="auto"/>
        <w:ind w:left="425.19685039370086" w:right="145.27559055118218"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1"/>
        <w:tblW w:w="9750.0" w:type="dxa"/>
        <w:jc w:val="left"/>
        <w:tblInd w:w="425.19685039370086"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965"/>
        <w:gridCol w:w="4785"/>
        <w:tblGridChange w:id="0">
          <w:tblGrid>
            <w:gridCol w:w="4965"/>
            <w:gridCol w:w="4785"/>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7">
            <w:pPr>
              <w:spacing w:after="0" w:lineRule="auto"/>
              <w:ind w:left="0" w:right="146.1023622047244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w:t>
            </w:r>
          </w:p>
        </w:tc>
        <w:tc>
          <w:tcPr>
            <w:shd w:fill="auto" w:val="clear"/>
            <w:tcMar>
              <w:top w:w="0.0" w:type="dxa"/>
              <w:left w:w="0.0" w:type="dxa"/>
              <w:bottom w:w="0.0" w:type="dxa"/>
              <w:right w:w="0.0" w:type="dxa"/>
            </w:tcMar>
            <w:vAlign w:val="top"/>
          </w:tcPr>
          <w:p w:rsidR="00000000" w:rsidDel="00000000" w:rsidP="00000000" w:rsidRDefault="00000000" w:rsidRPr="00000000" w14:paraId="00000018">
            <w:pPr>
              <w:spacing w:after="0" w:lineRule="auto"/>
              <w:ind w:left="425.19685039370086" w:right="146.10236220472444"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DIRECTOR GENERAL</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9">
            <w:pPr>
              <w:spacing w:after="0" w:lineRule="auto"/>
              <w:ind w:left="0" w:right="146.1023622047244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DOMINIC FRITZ</w:t>
            </w:r>
          </w:p>
        </w:tc>
        <w:tc>
          <w:tcPr>
            <w:shd w:fill="auto" w:val="clear"/>
            <w:tcMar>
              <w:top w:w="0.0" w:type="dxa"/>
              <w:left w:w="0.0" w:type="dxa"/>
              <w:bottom w:w="0.0" w:type="dxa"/>
              <w:right w:w="0.0" w:type="dxa"/>
            </w:tcMar>
            <w:vAlign w:val="top"/>
          </w:tcPr>
          <w:p w:rsidR="00000000" w:rsidDel="00000000" w:rsidP="00000000" w:rsidRDefault="00000000" w:rsidRPr="00000000" w14:paraId="0000001A">
            <w:pPr>
              <w:spacing w:after="0" w:lineRule="auto"/>
              <w:ind w:left="425.19685039370086" w:right="146.10236220472444"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EMESE ESZTERO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897637795274704" w:firstLine="0"/>
              <w:jc w:val="right"/>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1D">
      <w:pPr>
        <w:spacing w:after="200" w:lineRule="auto"/>
        <w:ind w:left="425.19685039370086" w:right="145.27559055118218"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200" w:lineRule="auto"/>
        <w:ind w:left="425.19685039370086" w:right="145.27559055118218"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00" w:lineRule="auto"/>
        <w:ind w:left="425.19685039370086" w:right="145.27559055118218"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00" w:lineRule="auto"/>
        <w:ind w:left="425.19685039370086" w:right="145.27559055118218" w:firstLine="0"/>
        <w:jc w:val="right"/>
        <w:rPr/>
      </w:pPr>
      <w:r w:rsidDel="00000000" w:rsidR="00000000" w:rsidRPr="00000000">
        <w:rPr>
          <w:rFonts w:ascii="Times New Roman" w:cs="Times New Roman" w:eastAsia="Times New Roman" w:hAnsi="Times New Roman"/>
          <w:sz w:val="24"/>
          <w:szCs w:val="24"/>
          <w:rtl w:val="0"/>
        </w:rPr>
        <w:t xml:space="preserve">Cod FO 53-03,ver.3</w:t>
      </w:r>
      <w:r w:rsidDel="00000000" w:rsidR="00000000" w:rsidRPr="00000000">
        <w:rPr>
          <w:rtl w:val="0"/>
        </w:rPr>
      </w:r>
    </w:p>
    <w:sectPr>
      <w:headerReference r:id="rId7" w:type="default"/>
      <w:footerReference r:id="rId8" w:type="default"/>
      <w:pgSz w:h="16838" w:w="11906" w:orient="portrait"/>
      <w:pgMar w:bottom="0" w:top="1417" w:left="709" w:right="849"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88900</wp:posOffset>
              </wp:positionH>
              <wp:positionV relativeFrom="paragraph">
                <wp:posOffset>63500</wp:posOffset>
              </wp:positionV>
              <wp:extent cx="6577965" cy="1059815"/>
              <wp:effectExtent b="0" l="0" r="0" t="0"/>
              <wp:wrapNone/>
              <wp:docPr id="17" name=""/>
              <a:graphic>
                <a:graphicData uri="http://schemas.microsoft.com/office/word/2010/wordprocessingShape">
                  <wps:wsp>
                    <wps:cNvSpPr/>
                    <wps:cNvPr id="2" name="Shape 2"/>
                    <wps:spPr>
                      <a:xfrm>
                        <a:off x="2061780" y="3254855"/>
                        <a:ext cx="6568440" cy="105029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88900</wp:posOffset>
              </wp:positionH>
              <wp:positionV relativeFrom="paragraph">
                <wp:posOffset>63500</wp:posOffset>
              </wp:positionV>
              <wp:extent cx="6577965" cy="1059815"/>
              <wp:effectExtent b="0" l="0" r="0" t="0"/>
              <wp:wrapNone/>
              <wp:docPr id="1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577965" cy="1059815"/>
                      </a:xfrm>
                      <a:prstGeom prst="rect"/>
                      <a:ln/>
                    </pic:spPr>
                  </pic:pic>
                </a:graphicData>
              </a:graphic>
            </wp:anchor>
          </w:drawing>
        </mc:Fallback>
      </mc:AlternateConten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*Sediu administrativ: Str. Ioan Plavosin Nr. 21 Tel: 0356/416050 Fax: 0356/416049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Sediu social: Bulevardul Regele Carol I, nr.10 Tel/fax 0256/220583</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w:t>
    </w:r>
    <w:hyperlink r:id="rId2">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dastimisoara@gmail.com</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469390" cy="438785"/>
          <wp:effectExtent b="0" l="0" r="0" t="0"/>
          <wp:docPr id="20"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46939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5726579</wp:posOffset>
          </wp:positionH>
          <wp:positionV relativeFrom="paragraph">
            <wp:posOffset>88900</wp:posOffset>
          </wp:positionV>
          <wp:extent cx="741045" cy="922020"/>
          <wp:effectExtent b="0" l="0" r="0" t="0"/>
          <wp:wrapNone/>
          <wp:docPr descr="d:\Users\Dorian\Downloads\20049574_746531602192446_498538114_o.png" id="21" name="image3.png"/>
          <a:graphic>
            <a:graphicData uri="http://schemas.openxmlformats.org/drawingml/2006/picture">
              <pic:pic>
                <pic:nvPicPr>
                  <pic:cNvPr descr="d:\Users\Dorian\Downloads\20049574_746531602192446_498538114_o.png" id="0" name="image3.png"/>
                  <pic:cNvPicPr preferRelativeResize="0"/>
                </pic:nvPicPr>
                <pic:blipFill>
                  <a:blip r:embed="rId1"/>
                  <a:srcRect b="0" l="0" r="0" t="0"/>
                  <a:stretch>
                    <a:fillRect/>
                  </a:stretch>
                </pic:blipFill>
                <pic:spPr>
                  <a:xfrm>
                    <a:off x="0" y="0"/>
                    <a:ext cx="741045" cy="92202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wp:posOffset>
              </wp:positionH>
              <wp:positionV relativeFrom="paragraph">
                <wp:posOffset>-76199</wp:posOffset>
              </wp:positionV>
              <wp:extent cx="6654165" cy="1210945"/>
              <wp:effectExtent b="0" l="0" r="0" t="0"/>
              <wp:wrapNone/>
              <wp:docPr id="18" name=""/>
              <a:graphic>
                <a:graphicData uri="http://schemas.microsoft.com/office/word/2010/wordprocessingShape">
                  <wps:wsp>
                    <wps:cNvSpPr/>
                    <wps:cNvPr id="3" name="Shape 3"/>
                    <wps:spPr>
                      <a:xfrm>
                        <a:off x="2023680" y="3179290"/>
                        <a:ext cx="6644640" cy="120142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wp:posOffset>
              </wp:positionH>
              <wp:positionV relativeFrom="paragraph">
                <wp:posOffset>-76199</wp:posOffset>
              </wp:positionV>
              <wp:extent cx="6654165" cy="1210945"/>
              <wp:effectExtent b="0" l="0" r="0" t="0"/>
              <wp:wrapNone/>
              <wp:docPr id="18"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654165" cy="121094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151134</wp:posOffset>
          </wp:positionH>
          <wp:positionV relativeFrom="paragraph">
            <wp:posOffset>90049</wp:posOffset>
          </wp:positionV>
          <wp:extent cx="765133" cy="936812"/>
          <wp:effectExtent b="0" l="0" r="0" t="0"/>
          <wp:wrapNone/>
          <wp:docPr descr="logo1" id="19" name="image1.png"/>
          <a:graphic>
            <a:graphicData uri="http://schemas.openxmlformats.org/drawingml/2006/picture">
              <pic:pic>
                <pic:nvPicPr>
                  <pic:cNvPr descr="logo1" id="0" name="image1.png"/>
                  <pic:cNvPicPr preferRelativeResize="0"/>
                </pic:nvPicPr>
                <pic:blipFill>
                  <a:blip r:embed="rId3"/>
                  <a:srcRect b="0" l="0" r="0" t="0"/>
                  <a:stretch>
                    <a:fillRect/>
                  </a:stretch>
                </pic:blipFill>
                <pic:spPr>
                  <a:xfrm>
                    <a:off x="0" y="0"/>
                    <a:ext cx="765133" cy="936812"/>
                  </a:xfrm>
                  <a:prstGeom prst="rect"/>
                  <a:ln/>
                </pic:spPr>
              </pic:pic>
            </a:graphicData>
          </a:graphic>
        </wp:anchor>
      </w:drawing>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CONSILIUL LOCAL AL MUNICIPIULUI TIMIȘOARA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DIRECȚIA DE ASISTENȚĂ SOCIALĂ A MUNICIPIULUI TIMIȘOARA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95"/>
        <w:tab w:val="center" w:leader="none" w:pos="5315"/>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35"/>
        <w:tab w:val="left" w:leader="none" w:pos="4005"/>
        <w:tab w:val="center" w:leader="none" w:pos="5315"/>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ab/>
      <w:t xml:space="preserve">,,În slujba oamenilor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E45F1"/>
    <w:pPr>
      <w:spacing w:after="200" w:line="276" w:lineRule="auto"/>
    </w:pPr>
    <w:rPr>
      <w:rFonts w:eastAsia="Times New Roman"/>
      <w:sz w:val="22"/>
      <w:szCs w:val="22"/>
      <w:lang w:eastAsia="ro-RO" w:val="ro-RO"/>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paragraph" w:styleId="Frspaiere">
    <w:name w:val="No Spacing"/>
    <w:link w:val="FrspaiereCaracter"/>
    <w:uiPriority w:val="1"/>
    <w:qFormat w:val="1"/>
    <w:rsid w:val="00AD5E40"/>
    <w:rPr>
      <w:rFonts w:eastAsia="Times New Roman"/>
      <w:sz w:val="22"/>
      <w:szCs w:val="22"/>
      <w:lang w:eastAsia="ro-RO" w:val="ro-RO"/>
    </w:rPr>
  </w:style>
  <w:style w:type="paragraph" w:styleId="Antet">
    <w:name w:val="header"/>
    <w:basedOn w:val="Normal"/>
    <w:link w:val="AntetCaracter"/>
    <w:uiPriority w:val="99"/>
    <w:unhideWhenUsed w:val="1"/>
    <w:rsid w:val="00CF7751"/>
    <w:pPr>
      <w:tabs>
        <w:tab w:val="center" w:pos="4703"/>
        <w:tab w:val="right" w:pos="9406"/>
      </w:tabs>
      <w:spacing w:after="0" w:line="240" w:lineRule="auto"/>
    </w:pPr>
  </w:style>
  <w:style w:type="character" w:styleId="AntetCaracter" w:customStyle="1">
    <w:name w:val="Antet Caracter"/>
    <w:basedOn w:val="Fontdeparagrafimplicit"/>
    <w:link w:val="Antet"/>
    <w:uiPriority w:val="99"/>
    <w:rsid w:val="00CF7751"/>
    <w:rPr>
      <w:rFonts w:eastAsia="Times New Roman"/>
      <w:sz w:val="22"/>
      <w:szCs w:val="22"/>
      <w:lang w:eastAsia="ro-RO" w:val="ro-RO"/>
    </w:rPr>
  </w:style>
  <w:style w:type="paragraph" w:styleId="Subsol">
    <w:name w:val="footer"/>
    <w:basedOn w:val="Normal"/>
    <w:link w:val="SubsolCaracter"/>
    <w:uiPriority w:val="99"/>
    <w:unhideWhenUsed w:val="1"/>
    <w:rsid w:val="00CF7751"/>
    <w:pPr>
      <w:tabs>
        <w:tab w:val="center" w:pos="4703"/>
        <w:tab w:val="right" w:pos="9406"/>
      </w:tabs>
      <w:spacing w:after="0" w:line="240" w:lineRule="auto"/>
    </w:pPr>
  </w:style>
  <w:style w:type="character" w:styleId="SubsolCaracter" w:customStyle="1">
    <w:name w:val="Subsol Caracter"/>
    <w:basedOn w:val="Fontdeparagrafimplicit"/>
    <w:link w:val="Subsol"/>
    <w:uiPriority w:val="99"/>
    <w:rsid w:val="00CF7751"/>
    <w:rPr>
      <w:rFonts w:eastAsia="Times New Roman"/>
      <w:sz w:val="22"/>
      <w:szCs w:val="22"/>
      <w:lang w:eastAsia="ro-RO" w:val="ro-RO"/>
    </w:rPr>
  </w:style>
  <w:style w:type="paragraph" w:styleId="TextnBalon">
    <w:name w:val="Balloon Text"/>
    <w:basedOn w:val="Normal"/>
    <w:link w:val="TextnBalonCaracter"/>
    <w:uiPriority w:val="99"/>
    <w:semiHidden w:val="1"/>
    <w:unhideWhenUsed w:val="1"/>
    <w:rsid w:val="00D7101A"/>
    <w:pPr>
      <w:spacing w:after="0" w:line="240" w:lineRule="auto"/>
    </w:pPr>
    <w:rPr>
      <w:rFonts w:ascii="Tahoma" w:cs="Tahoma" w:hAnsi="Tahoma"/>
      <w:sz w:val="16"/>
      <w:szCs w:val="16"/>
    </w:rPr>
  </w:style>
  <w:style w:type="character" w:styleId="TextnBalonCaracter" w:customStyle="1">
    <w:name w:val="Text în Balon Caracter"/>
    <w:basedOn w:val="Fontdeparagrafimplicit"/>
    <w:link w:val="TextnBalon"/>
    <w:uiPriority w:val="99"/>
    <w:semiHidden w:val="1"/>
    <w:rsid w:val="00D7101A"/>
    <w:rPr>
      <w:rFonts w:ascii="Tahoma" w:cs="Tahoma" w:eastAsia="Times New Roman" w:hAnsi="Tahoma"/>
      <w:sz w:val="16"/>
      <w:szCs w:val="16"/>
      <w:lang w:eastAsia="ro-RO" w:val="ro-RO"/>
    </w:rPr>
  </w:style>
  <w:style w:type="character" w:styleId="FrspaiereCaracter" w:customStyle="1">
    <w:name w:val="Fără spațiere Caracter"/>
    <w:link w:val="Frspaiere"/>
    <w:uiPriority w:val="1"/>
    <w:rsid w:val="002E45F1"/>
    <w:rPr>
      <w:rFonts w:eastAsia="Times New Roman"/>
      <w:sz w:val="22"/>
      <w:szCs w:val="22"/>
      <w:lang w:eastAsia="ro-RO" w:val="ro-RO"/>
    </w:rPr>
  </w:style>
  <w:style w:type="character" w:styleId="ui-column-title1" w:customStyle="1">
    <w:name w:val="ui-column-title1"/>
    <w:basedOn w:val="Fontdeparagrafimplicit"/>
    <w:rsid w:val="00DA4F9C"/>
  </w:style>
  <w:style w:type="paragraph" w:styleId="Listparagraf">
    <w:name w:val="List Paragraph"/>
    <w:aliases w:val="Akapit z listą BS,Outlines a.b.c.,List_Paragraph,Multilevel para_II,Akapit z lista BS,Normal bullet 2,List Paragraph1,Listă colorată - Accentuare 11,body 2,List Paragraph11,List Paragraph111"/>
    <w:basedOn w:val="Normal"/>
    <w:link w:val="ListparagrafCaracter"/>
    <w:uiPriority w:val="34"/>
    <w:qFormat w:val="1"/>
    <w:rsid w:val="00DA4F9C"/>
    <w:pPr>
      <w:ind w:left="720"/>
      <w:contextualSpacing w:val="1"/>
    </w:pPr>
  </w:style>
  <w:style w:type="character" w:styleId="Hyperlink">
    <w:name w:val="Hyperlink"/>
    <w:uiPriority w:val="99"/>
    <w:unhideWhenUsed w:val="1"/>
    <w:rsid w:val="00442CDD"/>
    <w:rPr>
      <w:color w:val="0000ff"/>
      <w:u w:val="single"/>
    </w:rPr>
  </w:style>
  <w:style w:type="paragraph" w:styleId="NormalWeb">
    <w:name w:val="Normal (Web)"/>
    <w:basedOn w:val="Normal"/>
    <w:uiPriority w:val="99"/>
    <w:unhideWhenUsed w:val="1"/>
    <w:rsid w:val="00442CDD"/>
    <w:pPr>
      <w:spacing w:after="100" w:afterAutospacing="1" w:before="100" w:beforeAutospacing="1" w:line="240" w:lineRule="auto"/>
    </w:pPr>
    <w:rPr>
      <w:rFonts w:ascii="Times New Roman" w:hAnsi="Times New Roman"/>
      <w:sz w:val="24"/>
      <w:szCs w:val="24"/>
    </w:rPr>
  </w:style>
  <w:style w:type="character" w:styleId="slitbdy" w:customStyle="1">
    <w:name w:val="s_lit_bdy"/>
    <w:rsid w:val="00AE1096"/>
  </w:style>
  <w:style w:type="character" w:styleId="ListparagrafCaracter" w:customStyle="1">
    <w:name w:val="Listă paragraf Caracter"/>
    <w:aliases w:val="Akapit z listą BS Caracter,Outlines a.b.c. Caracter,List_Paragraph Caracter,Multilevel para_II Caracter,Akapit z lista BS Caracter,Normal bullet 2 Caracter,List Paragraph1 Caracter,Listă colorată - Accentuare 11 Caracter"/>
    <w:link w:val="Listparagraf"/>
    <w:uiPriority w:val="34"/>
    <w:locked w:val="1"/>
    <w:rsid w:val="00591B66"/>
    <w:rPr>
      <w:rFonts w:eastAsia="Times New Roman"/>
      <w:sz w:val="22"/>
      <w:szCs w:val="22"/>
      <w:lang w:eastAsia="ro-RO" w:val="ro-R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about:blank" TargetMode="External"/><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Vq+nYX1FwYs6Ofq1JSbw8i0qA==">CgMxLjAyCGguZ2pkZ3hzMg5oLnJrY2RzZTVpd2ludzIOaC4zZ3Z6Y2Fib3ZpbjYyCWguMzBqMHpsbDgAciExU0RMc3lJNXRIckc1UGZuV2h4dHM4YWxleWZmVHJsanc=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2023-02-21T06:58:00Z</dcterms:created>
  <dc:creator>Ciprian E</dc:creator>
</cp:coreProperties>
</file>