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08" w:rsidRDefault="003C4108" w:rsidP="003C4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3</w:t>
      </w:r>
    </w:p>
    <w:p w:rsidR="003C4108" w:rsidRPr="00584F51" w:rsidRDefault="003C4108" w:rsidP="003C4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F51">
        <w:rPr>
          <w:rFonts w:ascii="Times New Roman" w:hAnsi="Times New Roman" w:cs="Times New Roman"/>
          <w:b/>
        </w:rPr>
        <w:t>BUGET</w:t>
      </w:r>
      <w:r>
        <w:rPr>
          <w:rFonts w:ascii="Times New Roman" w:hAnsi="Times New Roman" w:cs="Times New Roman"/>
          <w:b/>
        </w:rPr>
        <w:t>UL</w:t>
      </w:r>
      <w:r w:rsidRPr="00584F51">
        <w:rPr>
          <w:rFonts w:ascii="Times New Roman" w:hAnsi="Times New Roman" w:cs="Times New Roman"/>
          <w:b/>
        </w:rPr>
        <w:t xml:space="preserve"> DE VENITURI SI CHELTUIELI</w:t>
      </w: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Organizaţia-fundaţia......................................</w:t>
      </w: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Proiectul......................................................</w:t>
      </w: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Perioada şi locul desfăşurarii.......................</w:t>
      </w: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924DC">
        <w:rPr>
          <w:rFonts w:ascii="Times New Roman" w:hAnsi="Times New Roman" w:cs="Times New Roman"/>
          <w:b/>
          <w:bCs/>
        </w:rPr>
        <w:t>1.Bugetul de venituri şi cheltuieli al proiectului:</w:t>
      </w:r>
    </w:p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24DC">
        <w:rPr>
          <w:rFonts w:ascii="Times New Roman" w:hAnsi="Times New Roman" w:cs="Times New Roman"/>
        </w:rPr>
        <w:t>Beneficiar:__________________________________________________________________ eligibil al proiectului este evaluat la ___________ lei, conform bugetului alăturat.</w:t>
      </w:r>
    </w:p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24DC">
        <w:rPr>
          <w:rFonts w:ascii="Times New Roman" w:hAnsi="Times New Roman" w:cs="Times New Roman"/>
        </w:rPr>
        <w:t>Finanţatorul asigură o sumă de ____________________ lei,reprezentând ______________ % din cheltuielile eligibile ale proiectului, Beneficiarul asigură o sumă de _______________ lei, reprezentând ____________________ % din cheltuielile eligibile ale proiectului.</w:t>
      </w:r>
    </w:p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24DC">
        <w:rPr>
          <w:rFonts w:ascii="Times New Roman" w:hAnsi="Times New Roman" w:cs="Times New Roman"/>
          <w:b/>
          <w:bCs/>
        </w:rPr>
        <w:t>1.1 Cheltuielile proiectului</w:t>
      </w:r>
    </w:p>
    <w:tbl>
      <w:tblPr>
        <w:tblStyle w:val="TableGrid"/>
        <w:tblW w:w="9181" w:type="dxa"/>
        <w:tblLayout w:type="fixed"/>
        <w:tblLook w:val="04A0"/>
      </w:tblPr>
      <w:tblGrid>
        <w:gridCol w:w="534"/>
        <w:gridCol w:w="5811"/>
        <w:gridCol w:w="2836"/>
      </w:tblGrid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Nr.crt.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Denumire indicatori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Valare în lei</w:t>
            </w: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Finanţare nerambursabilă din bugetul local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totale din care: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salariale(inclusiv contribuţiile aferente)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deplasarea(masa,cazare,transport)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de prestări servicii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taxe/abonamente/autorizaţii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dotările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închirierea</w:t>
            </w:r>
            <w:r>
              <w:rPr>
                <w:rFonts w:ascii="Times New Roman" w:hAnsi="Times New Roman" w:cs="Times New Roman"/>
              </w:rPr>
              <w:t>/leasing fără achiziție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de promovare şi publicitate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tiparituri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Alte cheltuieli</w:t>
            </w:r>
          </w:p>
        </w:tc>
        <w:tc>
          <w:tcPr>
            <w:tcW w:w="28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4108" w:rsidRPr="006924DC" w:rsidRDefault="003C4108" w:rsidP="003C4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DC">
        <w:rPr>
          <w:rFonts w:ascii="Times New Roman" w:hAnsi="Times New Roman" w:cs="Times New Roman"/>
          <w:b/>
        </w:rPr>
        <w:t>1.2 Veniturile proiectului: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744"/>
        <w:gridCol w:w="3010"/>
      </w:tblGrid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Nr.crt.</w:t>
            </w:r>
          </w:p>
        </w:tc>
        <w:tc>
          <w:tcPr>
            <w:tcW w:w="574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Denumire indicatori</w:t>
            </w:r>
          </w:p>
        </w:tc>
        <w:tc>
          <w:tcPr>
            <w:tcW w:w="3010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Valare în lei</w:t>
            </w: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74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Contribuţia solicitantului-contribuţie proprie</w:t>
            </w:r>
          </w:p>
        </w:tc>
        <w:tc>
          <w:tcPr>
            <w:tcW w:w="3010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74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Finanţare nerambursabilă alocată de DAS-TM</w:t>
            </w:r>
          </w:p>
        </w:tc>
        <w:tc>
          <w:tcPr>
            <w:tcW w:w="3010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RPr="006924DC" w:rsidTr="004A6DB1">
        <w:tc>
          <w:tcPr>
            <w:tcW w:w="53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Total venituri</w:t>
            </w:r>
          </w:p>
        </w:tc>
        <w:tc>
          <w:tcPr>
            <w:tcW w:w="3010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4108" w:rsidRPr="00033B6C" w:rsidRDefault="003C4108" w:rsidP="003C4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B6C">
        <w:rPr>
          <w:rFonts w:ascii="Times New Roman" w:hAnsi="Times New Roman" w:cs="Times New Roman"/>
          <w:sz w:val="20"/>
          <w:szCs w:val="20"/>
        </w:rPr>
        <w:t xml:space="preserve">* Totalul </w:t>
      </w:r>
      <w:r w:rsidRPr="00033B6C">
        <w:rPr>
          <w:rFonts w:ascii="Times New Roman" w:hAnsi="Times New Roman" w:cs="Times New Roman"/>
          <w:bCs/>
          <w:sz w:val="20"/>
          <w:szCs w:val="20"/>
        </w:rPr>
        <w:t>Cheltuielilor proiectului</w:t>
      </w:r>
      <w:r w:rsidRPr="00033B6C">
        <w:rPr>
          <w:rFonts w:ascii="Times New Roman" w:hAnsi="Times New Roman" w:cs="Times New Roman"/>
          <w:sz w:val="20"/>
          <w:szCs w:val="20"/>
        </w:rPr>
        <w:t>trebuie să fie egal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33B6C">
        <w:rPr>
          <w:rFonts w:ascii="Times New Roman" w:hAnsi="Times New Roman" w:cs="Times New Roman"/>
          <w:sz w:val="20"/>
          <w:szCs w:val="20"/>
        </w:rPr>
        <w:t xml:space="preserve"> cu totalul V</w:t>
      </w:r>
      <w:r w:rsidRPr="00033B6C">
        <w:rPr>
          <w:rFonts w:ascii="Times New Roman" w:hAnsi="Times New Roman" w:cs="Times New Roman"/>
          <w:bCs/>
          <w:sz w:val="20"/>
          <w:szCs w:val="20"/>
        </w:rPr>
        <w:t>eniturilor proiectului</w:t>
      </w:r>
      <w:r w:rsidRPr="00033B6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B6C">
        <w:rPr>
          <w:rFonts w:ascii="Times New Roman" w:hAnsi="Times New Roman" w:cs="Times New Roman"/>
          <w:bCs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În bugetul de venituri ș</w:t>
      </w:r>
      <w:r w:rsidRPr="00033B6C">
        <w:rPr>
          <w:rFonts w:ascii="Times New Roman" w:hAnsi="Times New Roman" w:cs="Times New Roman"/>
          <w:sz w:val="20"/>
          <w:szCs w:val="20"/>
        </w:rPr>
        <w:t>i cheltuieli ale proiectului vor fi trecute doar acele tipuri de cheltuieli care au fost prevăzute în bugetul cererii de finanţare. Bugetul contractului va conţine doar cheltuieli eligibile.</w:t>
      </w: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4108" w:rsidRDefault="003C4108" w:rsidP="003C4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D</w:t>
      </w:r>
      <w:r w:rsidRPr="00625983">
        <w:rPr>
          <w:rFonts w:ascii="Times New Roman" w:hAnsi="Times New Roman" w:cs="Times New Roman"/>
        </w:rPr>
        <w:t>etalierea cheltuielilor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/>
      </w:tblPr>
      <w:tblGrid>
        <w:gridCol w:w="736"/>
        <w:gridCol w:w="4617"/>
        <w:gridCol w:w="1559"/>
        <w:gridCol w:w="1418"/>
        <w:gridCol w:w="958"/>
      </w:tblGrid>
      <w:tr w:rsidR="003C4108" w:rsidTr="004A6DB1">
        <w:tc>
          <w:tcPr>
            <w:tcW w:w="736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Nr.crt</w:t>
            </w:r>
          </w:p>
        </w:tc>
        <w:tc>
          <w:tcPr>
            <w:tcW w:w="4617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Categorie bugetară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Contribuţie finaţator</w:t>
            </w: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Contribuţie beneficiar</w:t>
            </w: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buget</w:t>
            </w: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salariale(inclusiv contribuţiile aferente)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deplasarea(masa,cazare,transport)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de prestări servicii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taxe/abonamente/autorizaţii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dotările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închirierea</w:t>
            </w:r>
            <w:r>
              <w:rPr>
                <w:rFonts w:ascii="Times New Roman" w:hAnsi="Times New Roman" w:cs="Times New Roman"/>
              </w:rPr>
              <w:t>/leasing fără achizitie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de promovare şi publicitate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tiparituri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Alte cheltuieli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108" w:rsidTr="004A6DB1">
        <w:tc>
          <w:tcPr>
            <w:tcW w:w="736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</w:tcPr>
          <w:p w:rsidR="003C4108" w:rsidRPr="006924DC" w:rsidRDefault="003C4108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%</w:t>
            </w:r>
          </w:p>
        </w:tc>
        <w:tc>
          <w:tcPr>
            <w:tcW w:w="1559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C4108" w:rsidRDefault="003C4108" w:rsidP="004A6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2625" w:rsidRDefault="00D42625"/>
    <w:sectPr w:rsidR="00D4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C4108"/>
    <w:rsid w:val="003C4108"/>
    <w:rsid w:val="00D4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1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1914</Characters>
  <Application>Microsoft Office Word</Application>
  <DocSecurity>0</DocSecurity>
  <Lines>15</Lines>
  <Paragraphs>4</Paragraphs>
  <ScaleCrop>false</ScaleCrop>
  <Company>Grizli777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2018-05-16T06:39:00Z</dcterms:created>
  <dcterms:modified xsi:type="dcterms:W3CDTF">2018-05-16T06:40:00Z</dcterms:modified>
</cp:coreProperties>
</file>