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420261" w:rsidRPr="00420261">
        <w:tc>
          <w:tcPr>
            <w:tcW w:w="3656" w:type="pct"/>
          </w:tcPr>
          <w:p w:rsidR="00420261" w:rsidRPr="00420261" w:rsidRDefault="00420261" w:rsidP="004202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0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 w:rsidRPr="00420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 w:rsidRPr="00420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 w:rsidRPr="004202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420261" w:rsidRPr="00420261" w:rsidRDefault="00420261" w:rsidP="004202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8" w:right="4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 </w:t>
            </w:r>
            <w:proofErr w:type="spellStart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SIMONA DRĂGOI</w:t>
            </w:r>
          </w:p>
        </w:tc>
      </w:tr>
    </w:tbl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0261" w:rsidRDefault="00420261" w:rsidP="0042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202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20261" w:rsidRDefault="00420261" w:rsidP="0042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dobândirii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cãtre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</w:t>
      </w:r>
      <w:r w:rsidRPr="00420261">
        <w:rPr>
          <w:rFonts w:ascii="Cambria Math" w:hAnsi="Cambria Math" w:cs="Cambria Math"/>
          <w:b/>
          <w:bCs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oara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face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obiectul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renun</w:t>
      </w:r>
      <w:r w:rsidRPr="00420261">
        <w:rPr>
          <w:rFonts w:ascii="Cambria Math" w:hAnsi="Cambria Math" w:cs="Cambria Math"/>
          <w:b/>
          <w:bCs/>
          <w:color w:val="000000"/>
          <w:sz w:val="24"/>
          <w:szCs w:val="24"/>
        </w:rPr>
        <w:t>ț</w:t>
      </w: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ãrii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dreptul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proprietate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cãtre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Gheorghe </w:t>
      </w:r>
      <w:proofErr w:type="spellStart"/>
      <w:r w:rsidRPr="00420261">
        <w:rPr>
          <w:rFonts w:ascii="Cambria Math" w:hAnsi="Cambria Math" w:cs="Cambria Math"/>
          <w:b/>
          <w:bCs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Dorina</w:t>
      </w:r>
      <w:proofErr w:type="spellEnd"/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motive, 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, nr.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SC2017-24932 din 06.10.2017, din data de 06.10.2017, al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Diverse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Clădiri-Terenuri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prognoze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economie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buget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finanţe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impozite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taxe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nr.CT2017-5822 din 26.09.2017,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înregistratã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Primãria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cãtre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Gheorghe </w:t>
      </w:r>
      <w:proofErr w:type="spellStart"/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Dorina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care ne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tiin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ț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eazã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renunþã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imobilului-teren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C.F. nr.444999-Timi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oara,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suprafa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ț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2016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m.p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., 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intravilan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drum 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Declara</w:t>
      </w:r>
      <w:r w:rsidRPr="00420261">
        <w:rPr>
          <w:rFonts w:ascii="Cambria Math" w:hAnsi="Cambria Math" w:cs="Cambria Math"/>
          <w:i/>
          <w:iCs/>
          <w:color w:val="000000"/>
          <w:sz w:val="24"/>
          <w:szCs w:val="24"/>
        </w:rPr>
        <w:t>ț</w:t>
      </w:r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ia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autentificată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sub nr.1208 din 19.06.2017, la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Societatea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Profesionalã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Notarialã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>Lãpãdat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Maria </w:t>
      </w:r>
      <w:proofErr w:type="spellStart"/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Velciov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Rãzvan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-Lucian” ; 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art.562,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2) din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nr. 287/2009 -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Codul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Civil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C. F. nr. 444999-Timişoara, 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notată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Declaraţia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renunţare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Gheorghe </w:t>
      </w:r>
      <w:proofErr w:type="spellStart"/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Dorina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cu art.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553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(2), art.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562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art. 889 din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Civil;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36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. c)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nr. 215/2001 -</w:t>
      </w:r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administraţia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publică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locală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45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(3)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nr. 215/2001-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privind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administraţia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publică</w:t>
      </w:r>
      <w:proofErr w:type="spellEnd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locală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20261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 w:rsidRPr="004202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1: 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dobândirea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imobilului-teren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C.F. nr.444999-Timi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oara,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suprafa</w:t>
      </w:r>
      <w:r w:rsidRPr="00420261">
        <w:rPr>
          <w:rFonts w:ascii="Cambria Math" w:hAnsi="Cambria Math" w:cs="Cambria Math"/>
          <w:color w:val="000000"/>
          <w:sz w:val="24"/>
          <w:szCs w:val="24"/>
        </w:rPr>
        <w:t>ț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ã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2016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m.p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.,  care face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renunţării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dreptul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Gheorghe </w:t>
      </w:r>
      <w:proofErr w:type="spellStart"/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Dorina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2: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trecerea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imobilului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la art. </w:t>
      </w:r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1, din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domeniul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public al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destinaţia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drum.</w:t>
      </w:r>
      <w:proofErr w:type="gramEnd"/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Art. 3: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Diverse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Ecomomică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Evidenţa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Patrimoniului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din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4: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Instituţiei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Judeţul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Edilitare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Urbană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Relaţionare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Direcţiei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Calităţii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O.C.P.I.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Gheorghe </w:t>
      </w:r>
      <w:proofErr w:type="spellStart"/>
      <w:r w:rsidRPr="00420261">
        <w:rPr>
          <w:rFonts w:ascii="Cambria Math" w:hAnsi="Cambria Math" w:cs="Cambria Math"/>
          <w:color w:val="000000"/>
          <w:sz w:val="24"/>
          <w:szCs w:val="24"/>
        </w:rPr>
        <w:t>ș</w:t>
      </w:r>
      <w:r w:rsidRPr="00420261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Todea</w:t>
      </w:r>
      <w:proofErr w:type="spellEnd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>Dorina</w:t>
      </w:r>
      <w:proofErr w:type="spellEnd"/>
      <w:proofErr w:type="gramStart"/>
      <w:r w:rsidRPr="00420261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proofErr w:type="gramEnd"/>
      <w:r w:rsidRPr="00420261">
        <w:rPr>
          <w:rFonts w:ascii="Times New Roman" w:hAnsi="Times New Roman" w:cs="Times New Roman"/>
          <w:color w:val="000000"/>
          <w:sz w:val="24"/>
          <w:szCs w:val="24"/>
        </w:rPr>
        <w:br/>
        <w:t>- Mass-media locale.</w:t>
      </w:r>
    </w:p>
    <w:p w:rsid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20261" w:rsidRPr="00420261" w:rsidRDefault="00420261" w:rsidP="00420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4822"/>
        <w:gridCol w:w="4584"/>
      </w:tblGrid>
      <w:tr w:rsidR="00420261" w:rsidRPr="00420261">
        <w:tc>
          <w:tcPr>
            <w:tcW w:w="2562" w:type="pct"/>
          </w:tcPr>
          <w:p w:rsidR="00420261" w:rsidRPr="00420261" w:rsidRDefault="00420261" w:rsidP="004202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Preşedinte</w:t>
            </w:r>
            <w:proofErr w:type="spellEnd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şedinţă</w:t>
            </w:r>
            <w:proofErr w:type="spellEnd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</w:p>
          <w:p w:rsidR="00420261" w:rsidRPr="00420261" w:rsidRDefault="00420261" w:rsidP="004202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Consilier</w:t>
            </w:r>
            <w:proofErr w:type="spellEnd"/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4202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437" w:type="pct"/>
          </w:tcPr>
          <w:p w:rsidR="00420261" w:rsidRPr="00420261" w:rsidRDefault="00420261" w:rsidP="0042026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D07C7" w:rsidRDefault="00420261"/>
    <w:sectPr w:rsidR="002D07C7" w:rsidSect="00AD7B8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0261"/>
    <w:rsid w:val="00420261"/>
    <w:rsid w:val="009E6181"/>
    <w:rsid w:val="00AD7B8C"/>
    <w:rsid w:val="00C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3100</Characters>
  <Application>Microsoft Office Word</Application>
  <DocSecurity>0</DocSecurity>
  <Lines>25</Lines>
  <Paragraphs>7</Paragraphs>
  <ScaleCrop>false</ScaleCrop>
  <Company>PMT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2017-10-20T08:32:00Z</dcterms:created>
  <dcterms:modified xsi:type="dcterms:W3CDTF">2017-10-20T08:33:00Z</dcterms:modified>
</cp:coreProperties>
</file>