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66F" w:rsidRPr="00645FAD" w:rsidRDefault="00A11F67" w:rsidP="00A11F67">
      <w:pPr>
        <w:rPr>
          <w:rFonts w:ascii="Times New Roman" w:hAnsi="Times New Roman" w:cs="Times New Roman"/>
          <w:sz w:val="24"/>
          <w:szCs w:val="24"/>
        </w:rPr>
      </w:pPr>
      <w:r w:rsidRPr="00645FAD">
        <w:rPr>
          <w:rFonts w:ascii="Times New Roman" w:hAnsi="Times New Roman" w:cs="Times New Roman"/>
          <w:noProof/>
          <w:sz w:val="24"/>
          <w:szCs w:val="24"/>
        </w:rPr>
        <w:drawing>
          <wp:inline distT="0" distB="0" distL="0" distR="0">
            <wp:extent cx="1318260" cy="680720"/>
            <wp:effectExtent l="19050" t="0" r="0" b="0"/>
            <wp:docPr id="1" name="Picture 12" descr="youth_in_europ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youth_in_europe_logo"/>
                    <pic:cNvPicPr>
                      <a:picLocks noChangeAspect="1" noChangeArrowheads="1"/>
                    </pic:cNvPicPr>
                  </pic:nvPicPr>
                  <pic:blipFill>
                    <a:blip r:embed="rId7" cstate="print"/>
                    <a:srcRect/>
                    <a:stretch>
                      <a:fillRect/>
                    </a:stretch>
                  </pic:blipFill>
                  <pic:spPr bwMode="auto">
                    <a:xfrm>
                      <a:off x="0" y="0"/>
                      <a:ext cx="1318260" cy="680720"/>
                    </a:xfrm>
                    <a:prstGeom prst="rect">
                      <a:avLst/>
                    </a:prstGeom>
                    <a:noFill/>
                    <a:ln w="9525">
                      <a:noFill/>
                      <a:miter lim="800000"/>
                      <a:headEnd/>
                      <a:tailEnd/>
                    </a:ln>
                  </pic:spPr>
                </pic:pic>
              </a:graphicData>
            </a:graphic>
          </wp:inline>
        </w:drawing>
      </w:r>
    </w:p>
    <w:p w:rsidR="00D0054D" w:rsidRPr="00645FAD" w:rsidRDefault="00D0054D" w:rsidP="00D0054D">
      <w:pPr>
        <w:jc w:val="center"/>
        <w:rPr>
          <w:rFonts w:ascii="Times New Roman" w:hAnsi="Times New Roman" w:cs="Times New Roman"/>
          <w:b/>
          <w:sz w:val="24"/>
          <w:szCs w:val="24"/>
        </w:rPr>
      </w:pPr>
      <w:r w:rsidRPr="00645FAD">
        <w:rPr>
          <w:rFonts w:ascii="Times New Roman" w:hAnsi="Times New Roman" w:cs="Times New Roman"/>
          <w:b/>
          <w:sz w:val="24"/>
          <w:szCs w:val="24"/>
        </w:rPr>
        <w:t xml:space="preserve">ACORD DE PARTENERIAT </w:t>
      </w:r>
    </w:p>
    <w:p w:rsidR="00D0054D" w:rsidRPr="00645FAD" w:rsidRDefault="00D0054D" w:rsidP="00D0054D">
      <w:pPr>
        <w:jc w:val="center"/>
        <w:rPr>
          <w:rFonts w:ascii="Times New Roman" w:hAnsi="Times New Roman" w:cs="Times New Roman"/>
          <w:i/>
          <w:sz w:val="24"/>
          <w:szCs w:val="24"/>
        </w:rPr>
      </w:pPr>
      <w:r w:rsidRPr="00645FAD">
        <w:rPr>
          <w:rFonts w:ascii="Times New Roman" w:hAnsi="Times New Roman" w:cs="Times New Roman"/>
          <w:i/>
          <w:sz w:val="24"/>
          <w:szCs w:val="24"/>
        </w:rPr>
        <w:t>în scopul implementării proiectului ”Tineri în Europa – Un program de prevenire a consumului de droguri”</w:t>
      </w:r>
    </w:p>
    <w:p w:rsidR="00D0054D" w:rsidRPr="00645FAD" w:rsidRDefault="00D0054D" w:rsidP="00D0054D">
      <w:pPr>
        <w:jc w:val="center"/>
        <w:rPr>
          <w:rFonts w:ascii="Times New Roman" w:hAnsi="Times New Roman" w:cs="Times New Roman"/>
          <w:sz w:val="24"/>
          <w:szCs w:val="24"/>
        </w:rPr>
      </w:pPr>
      <w:r w:rsidRPr="00645FAD">
        <w:rPr>
          <w:rFonts w:ascii="Times New Roman" w:hAnsi="Times New Roman" w:cs="Times New Roman"/>
          <w:sz w:val="24"/>
          <w:szCs w:val="24"/>
        </w:rPr>
        <w:t xml:space="preserve">între </w:t>
      </w:r>
    </w:p>
    <w:p w:rsidR="00EA0E4D" w:rsidRPr="00645FAD" w:rsidRDefault="00EA0E4D" w:rsidP="00EA0E4D">
      <w:pPr>
        <w:jc w:val="both"/>
        <w:rPr>
          <w:rFonts w:ascii="Times New Roman" w:hAnsi="Times New Roman" w:cs="Times New Roman"/>
          <w:spacing w:val="-4"/>
          <w:sz w:val="24"/>
          <w:szCs w:val="24"/>
        </w:rPr>
      </w:pPr>
      <w:r w:rsidRPr="00645FAD">
        <w:rPr>
          <w:rFonts w:ascii="Times New Roman" w:hAnsi="Times New Roman" w:cs="Times New Roman"/>
          <w:b/>
          <w:sz w:val="24"/>
          <w:szCs w:val="24"/>
          <w:lang w:val="en-GB"/>
        </w:rPr>
        <w:t>The</w:t>
      </w:r>
      <w:r w:rsidRPr="00645FAD">
        <w:rPr>
          <w:rFonts w:ascii="Times New Roman" w:hAnsi="Times New Roman" w:cs="Times New Roman"/>
          <w:sz w:val="24"/>
          <w:szCs w:val="24"/>
          <w:lang w:val="en-GB"/>
        </w:rPr>
        <w:t xml:space="preserve"> </w:t>
      </w:r>
      <w:r w:rsidRPr="00645FAD">
        <w:rPr>
          <w:rFonts w:ascii="Times New Roman" w:hAnsi="Times New Roman" w:cs="Times New Roman"/>
          <w:b/>
          <w:sz w:val="24"/>
          <w:szCs w:val="24"/>
          <w:lang w:val="en-GB"/>
        </w:rPr>
        <w:t>Icelandic Centre for Social Research and Analysis (ICSRA)</w:t>
      </w:r>
      <w:r w:rsidRPr="00645FAD">
        <w:rPr>
          <w:rFonts w:ascii="Times New Roman" w:hAnsi="Times New Roman" w:cs="Times New Roman"/>
          <w:spacing w:val="-4"/>
          <w:sz w:val="24"/>
          <w:szCs w:val="24"/>
        </w:rPr>
        <w:t>, cu sediul în Reykjavik (Islanda) – Menntavegi 1, 101 Reykjavik , reprezentat de Jón Sigfússon, director, în calitate de partener coordonator</w:t>
      </w:r>
    </w:p>
    <w:p w:rsidR="00EA0E4D" w:rsidRPr="00645FAD" w:rsidRDefault="00EA0E4D" w:rsidP="00EA0E4D">
      <w:pPr>
        <w:jc w:val="center"/>
        <w:rPr>
          <w:rFonts w:ascii="Times New Roman" w:hAnsi="Times New Roman" w:cs="Times New Roman"/>
          <w:spacing w:val="-4"/>
          <w:sz w:val="24"/>
          <w:szCs w:val="24"/>
        </w:rPr>
      </w:pPr>
      <w:r w:rsidRPr="00645FAD">
        <w:rPr>
          <w:rFonts w:ascii="Times New Roman" w:hAnsi="Times New Roman" w:cs="Times New Roman"/>
          <w:spacing w:val="-4"/>
          <w:sz w:val="24"/>
          <w:szCs w:val="24"/>
        </w:rPr>
        <w:t>și</w:t>
      </w:r>
    </w:p>
    <w:p w:rsidR="00EA0E4D" w:rsidRPr="00645FAD" w:rsidRDefault="00EA0E4D" w:rsidP="00EA0E4D">
      <w:pPr>
        <w:jc w:val="both"/>
        <w:rPr>
          <w:rFonts w:ascii="Times New Roman" w:hAnsi="Times New Roman" w:cs="Times New Roman"/>
          <w:spacing w:val="-4"/>
          <w:sz w:val="24"/>
          <w:szCs w:val="24"/>
        </w:rPr>
      </w:pPr>
      <w:r w:rsidRPr="00645FAD">
        <w:rPr>
          <w:rFonts w:ascii="Times New Roman" w:hAnsi="Times New Roman" w:cs="Times New Roman"/>
          <w:b/>
          <w:spacing w:val="-4"/>
          <w:sz w:val="24"/>
          <w:szCs w:val="24"/>
        </w:rPr>
        <w:t>Primăria Municipiului Timișoara</w:t>
      </w:r>
      <w:r w:rsidRPr="00645FAD">
        <w:rPr>
          <w:rFonts w:ascii="Times New Roman" w:hAnsi="Times New Roman" w:cs="Times New Roman"/>
          <w:spacing w:val="-4"/>
          <w:sz w:val="24"/>
          <w:szCs w:val="24"/>
        </w:rPr>
        <w:t>, cu sediul pe BD. C.D. Loga, nr. 1, reprezentată prin domnul primar Nicolae Robu, în calitate de partener internațional</w:t>
      </w:r>
      <w:r w:rsidR="00645FAD">
        <w:rPr>
          <w:rFonts w:ascii="Times New Roman" w:hAnsi="Times New Roman" w:cs="Times New Roman"/>
          <w:spacing w:val="-4"/>
          <w:sz w:val="24"/>
          <w:szCs w:val="24"/>
        </w:rPr>
        <w:t>,</w:t>
      </w:r>
    </w:p>
    <w:p w:rsidR="00EA0E4D" w:rsidRPr="00645FAD" w:rsidRDefault="00EA0E4D" w:rsidP="00EA0E4D">
      <w:pPr>
        <w:jc w:val="both"/>
        <w:rPr>
          <w:rFonts w:ascii="Times New Roman" w:hAnsi="Times New Roman" w:cs="Times New Roman"/>
          <w:spacing w:val="-4"/>
          <w:sz w:val="24"/>
          <w:szCs w:val="24"/>
        </w:rPr>
      </w:pPr>
      <w:r w:rsidRPr="00645FAD">
        <w:rPr>
          <w:rFonts w:ascii="Times New Roman" w:hAnsi="Times New Roman" w:cs="Times New Roman"/>
          <w:b/>
          <w:spacing w:val="-4"/>
          <w:sz w:val="24"/>
          <w:szCs w:val="24"/>
        </w:rPr>
        <w:t>Direcția de Asistență Socială Comunitară a Municipiului Timișoara</w:t>
      </w:r>
      <w:r w:rsidRPr="00645FAD">
        <w:rPr>
          <w:rFonts w:ascii="Times New Roman" w:hAnsi="Times New Roman" w:cs="Times New Roman"/>
          <w:spacing w:val="-4"/>
          <w:sz w:val="24"/>
          <w:szCs w:val="24"/>
        </w:rPr>
        <w:t>, cu sediul pe Bd. Regele Carol I, nr. 10, reprezentată prin doamna director executiv Maria Stoianov, în calitate de partener internațional</w:t>
      </w:r>
    </w:p>
    <w:p w:rsidR="00EA0E4D" w:rsidRPr="00645FAD" w:rsidRDefault="00EA0E4D" w:rsidP="00EA0E4D">
      <w:pPr>
        <w:jc w:val="both"/>
        <w:rPr>
          <w:rFonts w:ascii="Times New Roman" w:hAnsi="Times New Roman" w:cs="Times New Roman"/>
          <w:b/>
          <w:spacing w:val="-4"/>
          <w:sz w:val="24"/>
          <w:szCs w:val="24"/>
        </w:rPr>
      </w:pPr>
      <w:r w:rsidRPr="00645FAD">
        <w:rPr>
          <w:rFonts w:ascii="Times New Roman" w:hAnsi="Times New Roman" w:cs="Times New Roman"/>
          <w:b/>
          <w:spacing w:val="-4"/>
          <w:sz w:val="24"/>
          <w:szCs w:val="24"/>
        </w:rPr>
        <w:t xml:space="preserve">Următorii termeni sunt folosiți în sensurile definite mai jos: </w:t>
      </w:r>
    </w:p>
    <w:p w:rsidR="00EA0E4D" w:rsidRPr="00645FAD" w:rsidRDefault="00EA0E4D" w:rsidP="00EA0E4D">
      <w:pPr>
        <w:jc w:val="both"/>
        <w:rPr>
          <w:rFonts w:ascii="Times New Roman" w:hAnsi="Times New Roman" w:cs="Times New Roman"/>
          <w:bCs/>
          <w:spacing w:val="-4"/>
          <w:sz w:val="24"/>
          <w:szCs w:val="24"/>
        </w:rPr>
      </w:pPr>
      <w:r w:rsidRPr="00645FAD">
        <w:rPr>
          <w:rFonts w:ascii="Times New Roman" w:hAnsi="Times New Roman" w:cs="Times New Roman"/>
          <w:i/>
          <w:spacing w:val="-4"/>
          <w:sz w:val="24"/>
          <w:szCs w:val="24"/>
        </w:rPr>
        <w:t>Partener coordonator</w:t>
      </w:r>
      <w:r w:rsidRPr="00645FAD">
        <w:rPr>
          <w:rFonts w:ascii="Times New Roman" w:hAnsi="Times New Roman" w:cs="Times New Roman"/>
          <w:b/>
          <w:spacing w:val="-4"/>
          <w:sz w:val="24"/>
          <w:szCs w:val="24"/>
        </w:rPr>
        <w:t xml:space="preserve">:  </w:t>
      </w:r>
      <w:r w:rsidRPr="00645FAD">
        <w:rPr>
          <w:rFonts w:ascii="Times New Roman" w:hAnsi="Times New Roman" w:cs="Times New Roman"/>
          <w:bCs/>
          <w:spacing w:val="-4"/>
          <w:sz w:val="24"/>
          <w:szCs w:val="24"/>
        </w:rPr>
        <w:t>The Icelandic Centre for Social Research and Analysis (ICSRA), beneficiar al finanțării Actavis</w:t>
      </w:r>
    </w:p>
    <w:p w:rsidR="00EA0E4D" w:rsidRPr="00645FAD" w:rsidRDefault="00EA0E4D" w:rsidP="00EA0E4D">
      <w:pPr>
        <w:jc w:val="both"/>
        <w:rPr>
          <w:rFonts w:ascii="Times New Roman" w:hAnsi="Times New Roman" w:cs="Times New Roman"/>
          <w:bCs/>
          <w:spacing w:val="-4"/>
          <w:sz w:val="24"/>
          <w:szCs w:val="24"/>
        </w:rPr>
      </w:pPr>
      <w:r w:rsidRPr="00645FAD">
        <w:rPr>
          <w:rFonts w:ascii="Times New Roman" w:hAnsi="Times New Roman" w:cs="Times New Roman"/>
          <w:bCs/>
          <w:i/>
          <w:spacing w:val="-4"/>
          <w:sz w:val="24"/>
          <w:szCs w:val="24"/>
        </w:rPr>
        <w:t>Finanțator</w:t>
      </w:r>
      <w:r w:rsidRPr="00645FAD">
        <w:rPr>
          <w:rFonts w:ascii="Times New Roman" w:hAnsi="Times New Roman" w:cs="Times New Roman"/>
          <w:bCs/>
          <w:spacing w:val="-4"/>
          <w:sz w:val="24"/>
          <w:szCs w:val="24"/>
        </w:rPr>
        <w:t xml:space="preserve">: </w:t>
      </w:r>
      <w:r w:rsidR="000738F6" w:rsidRPr="00645FAD">
        <w:rPr>
          <w:rFonts w:ascii="Times New Roman" w:hAnsi="Times New Roman" w:cs="Times New Roman"/>
          <w:bCs/>
          <w:spacing w:val="-4"/>
          <w:sz w:val="24"/>
          <w:szCs w:val="24"/>
        </w:rPr>
        <w:t>Grupul Actavis</w:t>
      </w:r>
    </w:p>
    <w:p w:rsidR="000738F6" w:rsidRPr="00645FAD" w:rsidRDefault="000738F6" w:rsidP="00EA0E4D">
      <w:pPr>
        <w:jc w:val="both"/>
        <w:rPr>
          <w:rFonts w:ascii="Times New Roman" w:hAnsi="Times New Roman" w:cs="Times New Roman"/>
          <w:bCs/>
          <w:spacing w:val="-4"/>
          <w:sz w:val="24"/>
          <w:szCs w:val="24"/>
        </w:rPr>
      </w:pPr>
      <w:r w:rsidRPr="00645FAD">
        <w:rPr>
          <w:rFonts w:ascii="Times New Roman" w:hAnsi="Times New Roman" w:cs="Times New Roman"/>
          <w:bCs/>
          <w:i/>
          <w:spacing w:val="-4"/>
          <w:sz w:val="24"/>
          <w:szCs w:val="24"/>
        </w:rPr>
        <w:t>Parteneri în proiect</w:t>
      </w:r>
      <w:r w:rsidRPr="00645FAD">
        <w:rPr>
          <w:rFonts w:ascii="Times New Roman" w:hAnsi="Times New Roman" w:cs="Times New Roman"/>
          <w:bCs/>
          <w:spacing w:val="-4"/>
          <w:sz w:val="24"/>
          <w:szCs w:val="24"/>
        </w:rPr>
        <w:t>: Primăria Municipiului Timișoara, Direcția de Asistență Socială Comunitară</w:t>
      </w:r>
    </w:p>
    <w:p w:rsidR="000738F6" w:rsidRPr="00645FAD" w:rsidRDefault="000738F6" w:rsidP="000738F6">
      <w:pPr>
        <w:pStyle w:val="Heading2"/>
        <w:numPr>
          <w:ilvl w:val="0"/>
          <w:numId w:val="0"/>
        </w:numPr>
        <w:rPr>
          <w:rFonts w:ascii="Times New Roman" w:hAnsi="Times New Roman" w:cs="Times New Roman"/>
          <w:b w:val="0"/>
          <w:bCs/>
          <w:spacing w:val="-4"/>
          <w:sz w:val="24"/>
          <w:szCs w:val="24"/>
          <w:lang w:val="ro-RO"/>
        </w:rPr>
      </w:pPr>
      <w:r w:rsidRPr="00645FAD">
        <w:rPr>
          <w:rFonts w:ascii="Times New Roman" w:hAnsi="Times New Roman" w:cs="Times New Roman"/>
          <w:b w:val="0"/>
          <w:bCs/>
          <w:i/>
          <w:spacing w:val="-4"/>
          <w:sz w:val="24"/>
          <w:szCs w:val="24"/>
          <w:lang w:val="ro-RO"/>
        </w:rPr>
        <w:t>Proiect</w:t>
      </w:r>
      <w:r w:rsidRPr="00645FAD">
        <w:rPr>
          <w:rFonts w:ascii="Times New Roman" w:hAnsi="Times New Roman" w:cs="Times New Roman"/>
          <w:bCs/>
          <w:spacing w:val="-4"/>
          <w:sz w:val="24"/>
          <w:szCs w:val="24"/>
          <w:lang w:val="ro-RO"/>
        </w:rPr>
        <w:t xml:space="preserve">: </w:t>
      </w:r>
      <w:r w:rsidRPr="00645FAD">
        <w:rPr>
          <w:rFonts w:ascii="Times New Roman" w:hAnsi="Times New Roman" w:cs="Times New Roman"/>
          <w:b w:val="0"/>
          <w:bCs/>
          <w:spacing w:val="-4"/>
          <w:sz w:val="24"/>
          <w:szCs w:val="24"/>
          <w:lang w:val="ro-RO"/>
        </w:rPr>
        <w:t>The Youth in Europe – a Drug Prevention Programme/Tineri în Europa – Un program de prevenire a consumului de droguri</w:t>
      </w:r>
    </w:p>
    <w:p w:rsidR="000738F6" w:rsidRPr="00645FAD" w:rsidRDefault="000738F6" w:rsidP="00EA0E4D">
      <w:pPr>
        <w:jc w:val="both"/>
        <w:rPr>
          <w:rFonts w:ascii="Times New Roman" w:hAnsi="Times New Roman" w:cs="Times New Roman"/>
          <w:bCs/>
          <w:spacing w:val="-4"/>
          <w:sz w:val="24"/>
          <w:szCs w:val="24"/>
        </w:rPr>
      </w:pPr>
    </w:p>
    <w:p w:rsidR="006B54BD" w:rsidRPr="00645FAD" w:rsidRDefault="006B54BD" w:rsidP="00EA0E4D">
      <w:pPr>
        <w:jc w:val="both"/>
        <w:rPr>
          <w:rFonts w:ascii="Times New Roman" w:hAnsi="Times New Roman" w:cs="Times New Roman"/>
          <w:bCs/>
          <w:spacing w:val="-4"/>
          <w:sz w:val="24"/>
          <w:szCs w:val="24"/>
        </w:rPr>
      </w:pPr>
      <w:r w:rsidRPr="00645FAD">
        <w:rPr>
          <w:rFonts w:ascii="Times New Roman" w:hAnsi="Times New Roman" w:cs="Times New Roman"/>
          <w:b/>
          <w:bCs/>
          <w:spacing w:val="-4"/>
          <w:sz w:val="24"/>
          <w:szCs w:val="24"/>
        </w:rPr>
        <w:t>Scopul proiectului</w:t>
      </w:r>
    </w:p>
    <w:p w:rsidR="008D1636" w:rsidRPr="00645FAD" w:rsidRDefault="006B54BD" w:rsidP="00EA0E4D">
      <w:pPr>
        <w:jc w:val="both"/>
        <w:rPr>
          <w:rFonts w:ascii="Times New Roman" w:hAnsi="Times New Roman" w:cs="Times New Roman"/>
          <w:bCs/>
          <w:spacing w:val="-4"/>
          <w:sz w:val="24"/>
          <w:szCs w:val="24"/>
        </w:rPr>
      </w:pPr>
      <w:r w:rsidRPr="00645FAD">
        <w:rPr>
          <w:rFonts w:ascii="Times New Roman" w:hAnsi="Times New Roman" w:cs="Times New Roman"/>
          <w:bCs/>
          <w:spacing w:val="-4"/>
          <w:sz w:val="24"/>
          <w:szCs w:val="24"/>
        </w:rPr>
        <w:t>”Tineri în Europa – Un program de prevenire a consumului de droguri” este una dintre cele mai cuprinzătoare campanii de promovare a sănătății din Europa, concentrându-se pe consumul de substanțe.  Acest program internațional, care se sprijină pe cercetarea bazată pe probe, are ca model un program de prevenție primară islandeză, a debutat în anul 2006 și de atunci s-a desfășurat în cooperare cu mari orașe europene. Scopul programului este să ducă la scăderea incidenței consumului de substanțe în rândul tinerilor folosindu-se o abordare de tip holistic.</w:t>
      </w:r>
    </w:p>
    <w:p w:rsidR="008D1636" w:rsidRPr="00645FAD" w:rsidRDefault="008D1636" w:rsidP="00EA0E4D">
      <w:pPr>
        <w:jc w:val="both"/>
        <w:rPr>
          <w:rFonts w:ascii="Times New Roman" w:hAnsi="Times New Roman" w:cs="Times New Roman"/>
          <w:bCs/>
          <w:spacing w:val="-4"/>
          <w:sz w:val="24"/>
          <w:szCs w:val="24"/>
        </w:rPr>
      </w:pPr>
      <w:r w:rsidRPr="00645FAD">
        <w:rPr>
          <w:rFonts w:ascii="Times New Roman" w:hAnsi="Times New Roman" w:cs="Times New Roman"/>
          <w:b/>
          <w:bCs/>
          <w:spacing w:val="-4"/>
          <w:sz w:val="24"/>
          <w:szCs w:val="24"/>
        </w:rPr>
        <w:t>Durata proiectului:</w:t>
      </w:r>
    </w:p>
    <w:p w:rsidR="008D1636" w:rsidRPr="00645FAD" w:rsidRDefault="008D1636" w:rsidP="00EA0E4D">
      <w:pPr>
        <w:jc w:val="both"/>
        <w:rPr>
          <w:rFonts w:ascii="Times New Roman" w:hAnsi="Times New Roman" w:cs="Times New Roman"/>
          <w:bCs/>
          <w:spacing w:val="-4"/>
          <w:sz w:val="24"/>
          <w:szCs w:val="24"/>
        </w:rPr>
      </w:pPr>
      <w:r w:rsidRPr="00645FAD">
        <w:rPr>
          <w:rFonts w:ascii="Times New Roman" w:hAnsi="Times New Roman" w:cs="Times New Roman"/>
          <w:bCs/>
          <w:spacing w:val="-4"/>
          <w:sz w:val="24"/>
          <w:szCs w:val="24"/>
        </w:rPr>
        <w:t>31 de luni, din 01.09.2014 până în 30.06.2017, cu posibilitatea extinderii perioadei.</w:t>
      </w:r>
    </w:p>
    <w:p w:rsidR="008D1636" w:rsidRPr="00645FAD" w:rsidRDefault="008D1636" w:rsidP="008D1636">
      <w:pPr>
        <w:pStyle w:val="ListParagraph"/>
        <w:numPr>
          <w:ilvl w:val="0"/>
          <w:numId w:val="4"/>
        </w:numPr>
        <w:jc w:val="both"/>
        <w:rPr>
          <w:b/>
          <w:bCs/>
          <w:spacing w:val="-4"/>
        </w:rPr>
      </w:pPr>
      <w:r w:rsidRPr="00645FAD">
        <w:rPr>
          <w:b/>
          <w:bCs/>
          <w:spacing w:val="-4"/>
        </w:rPr>
        <w:t xml:space="preserve">Scopul acordului de parteneriat: </w:t>
      </w:r>
    </w:p>
    <w:p w:rsidR="008D1636" w:rsidRPr="00645FAD" w:rsidRDefault="008D1636" w:rsidP="00EA0E4D">
      <w:pPr>
        <w:jc w:val="both"/>
        <w:rPr>
          <w:rFonts w:ascii="Times New Roman" w:hAnsi="Times New Roman" w:cs="Times New Roman"/>
          <w:bCs/>
          <w:spacing w:val="-4"/>
          <w:sz w:val="24"/>
          <w:szCs w:val="24"/>
        </w:rPr>
      </w:pPr>
      <w:r w:rsidRPr="00645FAD">
        <w:rPr>
          <w:rFonts w:ascii="Times New Roman" w:hAnsi="Times New Roman" w:cs="Times New Roman"/>
          <w:bCs/>
          <w:spacing w:val="-4"/>
          <w:sz w:val="24"/>
          <w:szCs w:val="24"/>
        </w:rPr>
        <w:t xml:space="preserve">Acest acord de parteneriat are drept scop: </w:t>
      </w:r>
    </w:p>
    <w:p w:rsidR="008D1636" w:rsidRPr="00645FAD" w:rsidRDefault="008D1636" w:rsidP="008D1636">
      <w:pPr>
        <w:pStyle w:val="ListParagraph"/>
        <w:numPr>
          <w:ilvl w:val="0"/>
          <w:numId w:val="3"/>
        </w:numPr>
        <w:jc w:val="both"/>
        <w:rPr>
          <w:bCs/>
          <w:spacing w:val="-4"/>
        </w:rPr>
      </w:pPr>
      <w:r w:rsidRPr="00645FAD">
        <w:rPr>
          <w:bCs/>
          <w:spacing w:val="-4"/>
        </w:rPr>
        <w:lastRenderedPageBreak/>
        <w:t>Stabilirea organizațiilor/instituțiilor partenere în faza de implementare a proiectului</w:t>
      </w:r>
    </w:p>
    <w:p w:rsidR="008D1636" w:rsidRPr="00645FAD" w:rsidRDefault="008D1636" w:rsidP="008D1636">
      <w:pPr>
        <w:pStyle w:val="ListParagraph"/>
        <w:numPr>
          <w:ilvl w:val="0"/>
          <w:numId w:val="3"/>
        </w:numPr>
        <w:jc w:val="both"/>
        <w:rPr>
          <w:bCs/>
          <w:spacing w:val="-4"/>
        </w:rPr>
      </w:pPr>
      <w:r w:rsidRPr="00645FAD">
        <w:rPr>
          <w:bCs/>
          <w:spacing w:val="-4"/>
        </w:rPr>
        <w:t>Stabilirea sarcinilor și responsabilităților partenerilor implicați în implementarea proiectului</w:t>
      </w:r>
    </w:p>
    <w:p w:rsidR="008D1636" w:rsidRPr="00645FAD" w:rsidRDefault="008D1636" w:rsidP="008D1636">
      <w:pPr>
        <w:jc w:val="both"/>
        <w:rPr>
          <w:rFonts w:ascii="Times New Roman" w:hAnsi="Times New Roman" w:cs="Times New Roman"/>
          <w:bCs/>
          <w:spacing w:val="-4"/>
          <w:sz w:val="24"/>
          <w:szCs w:val="24"/>
        </w:rPr>
      </w:pPr>
    </w:p>
    <w:p w:rsidR="008D1636" w:rsidRPr="00645FAD" w:rsidRDefault="008D1636" w:rsidP="008D1636">
      <w:pPr>
        <w:pStyle w:val="ListParagraph"/>
        <w:numPr>
          <w:ilvl w:val="0"/>
          <w:numId w:val="4"/>
        </w:numPr>
        <w:jc w:val="both"/>
        <w:rPr>
          <w:b/>
          <w:bCs/>
          <w:spacing w:val="-4"/>
        </w:rPr>
      </w:pPr>
      <w:r w:rsidRPr="00645FAD">
        <w:rPr>
          <w:b/>
          <w:bCs/>
          <w:spacing w:val="-4"/>
        </w:rPr>
        <w:t xml:space="preserve">Durata acordului </w:t>
      </w:r>
    </w:p>
    <w:p w:rsidR="008D1636" w:rsidRPr="00645FAD" w:rsidRDefault="008D1636" w:rsidP="008D1636">
      <w:pPr>
        <w:jc w:val="both"/>
        <w:rPr>
          <w:rFonts w:ascii="Times New Roman" w:hAnsi="Times New Roman" w:cs="Times New Roman"/>
          <w:bCs/>
          <w:spacing w:val="-4"/>
          <w:sz w:val="24"/>
          <w:szCs w:val="24"/>
        </w:rPr>
      </w:pPr>
      <w:r w:rsidRPr="00645FAD">
        <w:rPr>
          <w:rFonts w:ascii="Times New Roman" w:hAnsi="Times New Roman" w:cs="Times New Roman"/>
          <w:bCs/>
          <w:spacing w:val="-4"/>
          <w:sz w:val="24"/>
          <w:szCs w:val="24"/>
        </w:rPr>
        <w:t>Acordul va fi valabil din momentul semnării de către părți până în momentul în care vor fi îndeplinite toate drepturile și obligațiile.</w:t>
      </w:r>
    </w:p>
    <w:p w:rsidR="008D1636" w:rsidRPr="00645FAD" w:rsidRDefault="008D1636" w:rsidP="008D1636">
      <w:pPr>
        <w:pStyle w:val="ListParagraph"/>
        <w:numPr>
          <w:ilvl w:val="0"/>
          <w:numId w:val="4"/>
        </w:numPr>
        <w:jc w:val="both"/>
        <w:rPr>
          <w:b/>
          <w:bCs/>
          <w:spacing w:val="-4"/>
        </w:rPr>
      </w:pPr>
      <w:r w:rsidRPr="00645FAD">
        <w:rPr>
          <w:b/>
          <w:bCs/>
          <w:spacing w:val="-4"/>
        </w:rPr>
        <w:t xml:space="preserve">Obligațiile părților </w:t>
      </w:r>
    </w:p>
    <w:p w:rsidR="008D1636" w:rsidRPr="00645FAD" w:rsidRDefault="002262EB" w:rsidP="00D9507A">
      <w:pPr>
        <w:jc w:val="both"/>
        <w:rPr>
          <w:rFonts w:ascii="Times New Roman" w:hAnsi="Times New Roman" w:cs="Times New Roman"/>
          <w:bCs/>
          <w:spacing w:val="-4"/>
          <w:sz w:val="24"/>
          <w:szCs w:val="24"/>
        </w:rPr>
      </w:pPr>
      <w:r w:rsidRPr="00645FAD">
        <w:rPr>
          <w:rFonts w:ascii="Times New Roman" w:hAnsi="Times New Roman" w:cs="Times New Roman"/>
          <w:bCs/>
          <w:spacing w:val="-4"/>
          <w:sz w:val="24"/>
          <w:szCs w:val="24"/>
        </w:rPr>
        <w:t xml:space="preserve">a. </w:t>
      </w:r>
      <w:r w:rsidR="008D1636" w:rsidRPr="00645FAD">
        <w:rPr>
          <w:rFonts w:ascii="Times New Roman" w:hAnsi="Times New Roman" w:cs="Times New Roman"/>
          <w:bCs/>
          <w:spacing w:val="-4"/>
          <w:sz w:val="24"/>
          <w:szCs w:val="24"/>
        </w:rPr>
        <w:t xml:space="preserve">Partenerul coordonator este responsabil de sarcinile care țin de managemenul activităților. De asemenea, prin intermediul asistenței finanaciare a Grupului Actavis, partenerul coorodonator suportă costurile cu: </w:t>
      </w:r>
    </w:p>
    <w:p w:rsidR="002262EB" w:rsidRPr="00645FAD" w:rsidRDefault="002262EB" w:rsidP="00D9507A">
      <w:pPr>
        <w:pStyle w:val="ListParagraph"/>
        <w:numPr>
          <w:ilvl w:val="0"/>
          <w:numId w:val="8"/>
        </w:numPr>
        <w:spacing w:line="360" w:lineRule="auto"/>
        <w:jc w:val="both"/>
        <w:rPr>
          <w:bCs/>
          <w:spacing w:val="-4"/>
        </w:rPr>
      </w:pPr>
      <w:r w:rsidRPr="00645FAD">
        <w:rPr>
          <w:bCs/>
          <w:spacing w:val="-4"/>
        </w:rPr>
        <w:t>Coordonarea</w:t>
      </w:r>
    </w:p>
    <w:p w:rsidR="002262EB" w:rsidRPr="00645FAD" w:rsidRDefault="002262EB" w:rsidP="00D9507A">
      <w:pPr>
        <w:pStyle w:val="ListParagraph"/>
        <w:numPr>
          <w:ilvl w:val="0"/>
          <w:numId w:val="8"/>
        </w:numPr>
        <w:spacing w:line="360" w:lineRule="auto"/>
        <w:jc w:val="both"/>
        <w:rPr>
          <w:bCs/>
          <w:spacing w:val="-4"/>
        </w:rPr>
      </w:pPr>
      <w:r w:rsidRPr="00645FAD">
        <w:rPr>
          <w:bCs/>
          <w:spacing w:val="-4"/>
        </w:rPr>
        <w:t>Metodologia</w:t>
      </w:r>
    </w:p>
    <w:p w:rsidR="002262EB" w:rsidRPr="00645FAD" w:rsidRDefault="002262EB" w:rsidP="00D9507A">
      <w:pPr>
        <w:pStyle w:val="ListParagraph"/>
        <w:numPr>
          <w:ilvl w:val="0"/>
          <w:numId w:val="8"/>
        </w:numPr>
        <w:spacing w:line="360" w:lineRule="auto"/>
        <w:jc w:val="both"/>
        <w:rPr>
          <w:bCs/>
          <w:spacing w:val="-4"/>
        </w:rPr>
      </w:pPr>
      <w:r w:rsidRPr="00645FAD">
        <w:rPr>
          <w:bCs/>
          <w:spacing w:val="-4"/>
        </w:rPr>
        <w:t>Elaborarea chestionarelor</w:t>
      </w:r>
    </w:p>
    <w:p w:rsidR="002262EB" w:rsidRPr="00645FAD" w:rsidRDefault="002262EB" w:rsidP="00D9507A">
      <w:pPr>
        <w:pStyle w:val="ListParagraph"/>
        <w:numPr>
          <w:ilvl w:val="0"/>
          <w:numId w:val="8"/>
        </w:numPr>
        <w:spacing w:line="360" w:lineRule="auto"/>
        <w:jc w:val="both"/>
        <w:rPr>
          <w:bCs/>
          <w:spacing w:val="-4"/>
        </w:rPr>
      </w:pPr>
      <w:r w:rsidRPr="00645FAD">
        <w:rPr>
          <w:bCs/>
          <w:spacing w:val="-4"/>
        </w:rPr>
        <w:t>Traducerea chestionarelor în diferite limbi</w:t>
      </w:r>
    </w:p>
    <w:p w:rsidR="002262EB" w:rsidRPr="00645FAD" w:rsidRDefault="002262EB" w:rsidP="00D9507A">
      <w:pPr>
        <w:pStyle w:val="ListParagraph"/>
        <w:numPr>
          <w:ilvl w:val="0"/>
          <w:numId w:val="8"/>
        </w:numPr>
        <w:spacing w:line="360" w:lineRule="auto"/>
        <w:jc w:val="both"/>
        <w:rPr>
          <w:bCs/>
          <w:spacing w:val="-4"/>
        </w:rPr>
      </w:pPr>
      <w:r w:rsidRPr="00645FAD">
        <w:rPr>
          <w:bCs/>
          <w:spacing w:val="-4"/>
        </w:rPr>
        <w:t>Scanarea optică</w:t>
      </w:r>
    </w:p>
    <w:p w:rsidR="002262EB" w:rsidRPr="00645FAD" w:rsidRDefault="002262EB" w:rsidP="00D9507A">
      <w:pPr>
        <w:pStyle w:val="ListParagraph"/>
        <w:numPr>
          <w:ilvl w:val="0"/>
          <w:numId w:val="8"/>
        </w:numPr>
        <w:spacing w:line="360" w:lineRule="auto"/>
        <w:jc w:val="both"/>
        <w:rPr>
          <w:bCs/>
          <w:spacing w:val="-4"/>
        </w:rPr>
      </w:pPr>
      <w:r w:rsidRPr="00645FAD">
        <w:rPr>
          <w:bCs/>
          <w:spacing w:val="-4"/>
        </w:rPr>
        <w:t>Verificarea datelor</w:t>
      </w:r>
    </w:p>
    <w:p w:rsidR="002262EB" w:rsidRPr="00645FAD" w:rsidRDefault="002262EB" w:rsidP="00D9507A">
      <w:pPr>
        <w:pStyle w:val="ListParagraph"/>
        <w:numPr>
          <w:ilvl w:val="0"/>
          <w:numId w:val="8"/>
        </w:numPr>
        <w:spacing w:line="360" w:lineRule="auto"/>
        <w:jc w:val="both"/>
        <w:rPr>
          <w:bCs/>
          <w:spacing w:val="-4"/>
        </w:rPr>
      </w:pPr>
      <w:r w:rsidRPr="00645FAD">
        <w:rPr>
          <w:bCs/>
          <w:spacing w:val="-4"/>
        </w:rPr>
        <w:t>Procesarea și analizarea datelor</w:t>
      </w:r>
    </w:p>
    <w:p w:rsidR="002262EB" w:rsidRPr="00645FAD" w:rsidRDefault="002262EB" w:rsidP="00D9507A">
      <w:pPr>
        <w:pStyle w:val="ListParagraph"/>
        <w:numPr>
          <w:ilvl w:val="0"/>
          <w:numId w:val="8"/>
        </w:numPr>
        <w:spacing w:line="360" w:lineRule="auto"/>
        <w:jc w:val="both"/>
        <w:rPr>
          <w:bCs/>
          <w:spacing w:val="-4"/>
        </w:rPr>
      </w:pPr>
      <w:r w:rsidRPr="00645FAD">
        <w:rPr>
          <w:bCs/>
          <w:spacing w:val="-4"/>
        </w:rPr>
        <w:t>Elaborarea unui raport descriptiv, în limba engleză, pentru orașul partener, cuprinzând: consumul de substanțe din prezent, indicarea factorilor de risc și a celor de prevenție</w:t>
      </w:r>
    </w:p>
    <w:p w:rsidR="002262EB" w:rsidRPr="00645FAD" w:rsidRDefault="002262EB" w:rsidP="00D9507A">
      <w:pPr>
        <w:pStyle w:val="ListParagraph"/>
        <w:numPr>
          <w:ilvl w:val="0"/>
          <w:numId w:val="8"/>
        </w:numPr>
        <w:spacing w:line="360" w:lineRule="auto"/>
        <w:jc w:val="both"/>
        <w:rPr>
          <w:bCs/>
          <w:spacing w:val="-4"/>
        </w:rPr>
      </w:pPr>
      <w:r w:rsidRPr="00645FAD">
        <w:rPr>
          <w:bCs/>
          <w:spacing w:val="-4"/>
        </w:rPr>
        <w:t xml:space="preserve">Punerea la dispoziția comunității a datelor în programul SPSS, acestea putând fi folosite de către orașul partener în scopuri academice, administrative sau de fundamentare a unor politici publice. </w:t>
      </w:r>
    </w:p>
    <w:p w:rsidR="002262EB" w:rsidRPr="00645FAD" w:rsidRDefault="002262EB" w:rsidP="002262EB">
      <w:pPr>
        <w:jc w:val="both"/>
        <w:rPr>
          <w:rFonts w:ascii="Times New Roman" w:hAnsi="Times New Roman" w:cs="Times New Roman"/>
          <w:bCs/>
          <w:spacing w:val="-4"/>
          <w:sz w:val="24"/>
          <w:szCs w:val="24"/>
        </w:rPr>
      </w:pPr>
      <w:r w:rsidRPr="00645FAD">
        <w:rPr>
          <w:rFonts w:ascii="Times New Roman" w:hAnsi="Times New Roman" w:cs="Times New Roman"/>
          <w:bCs/>
          <w:spacing w:val="-4"/>
          <w:sz w:val="24"/>
          <w:szCs w:val="24"/>
        </w:rPr>
        <w:t xml:space="preserve">b. Fiecare partener internațional este direct și exclusiv responsabil în fața partenerului coordonator pentru implementarea acțiunilor care îi revin, conform metodologiei Youth in Europe. De asemenea este responsabil de îndeplinirea completă a obligațiilor și sarcinilor stabilite prin acest acord de parteneriat și anexele sale. </w:t>
      </w:r>
    </w:p>
    <w:p w:rsidR="002262EB" w:rsidRPr="00645FAD" w:rsidRDefault="002262EB" w:rsidP="002262EB">
      <w:pPr>
        <w:jc w:val="both"/>
        <w:rPr>
          <w:rFonts w:ascii="Times New Roman" w:hAnsi="Times New Roman" w:cs="Times New Roman"/>
          <w:bCs/>
          <w:spacing w:val="-4"/>
          <w:sz w:val="24"/>
          <w:szCs w:val="24"/>
        </w:rPr>
      </w:pPr>
      <w:r w:rsidRPr="00645FAD">
        <w:rPr>
          <w:rFonts w:ascii="Times New Roman" w:hAnsi="Times New Roman" w:cs="Times New Roman"/>
          <w:bCs/>
          <w:spacing w:val="-4"/>
          <w:sz w:val="24"/>
          <w:szCs w:val="24"/>
        </w:rPr>
        <w:t xml:space="preserve">c.  Fiecare partener internațional este responsabil de activitățile din aria sa de competență și de operațiunile legate de ele până ce sunt îndeplinite toate obligațiile asumate. </w:t>
      </w:r>
      <w:r w:rsidR="00C1725B" w:rsidRPr="00645FAD">
        <w:rPr>
          <w:rFonts w:ascii="Times New Roman" w:hAnsi="Times New Roman" w:cs="Times New Roman"/>
          <w:bCs/>
          <w:spacing w:val="-4"/>
          <w:sz w:val="24"/>
          <w:szCs w:val="24"/>
        </w:rPr>
        <w:t xml:space="preserve">În cadrul activităților din proiect, partenerul este obligat să acorde vizibilitatea datorată Programului Youth in Europe și finanțatorului. </w:t>
      </w:r>
    </w:p>
    <w:p w:rsidR="00C1725B" w:rsidRPr="00645FAD" w:rsidRDefault="00C1725B" w:rsidP="002262EB">
      <w:pPr>
        <w:jc w:val="both"/>
        <w:rPr>
          <w:rFonts w:ascii="Times New Roman" w:hAnsi="Times New Roman" w:cs="Times New Roman"/>
          <w:bCs/>
          <w:spacing w:val="-4"/>
          <w:sz w:val="24"/>
          <w:szCs w:val="24"/>
        </w:rPr>
      </w:pPr>
      <w:r w:rsidRPr="00645FAD">
        <w:rPr>
          <w:rFonts w:ascii="Times New Roman" w:hAnsi="Times New Roman" w:cs="Times New Roman"/>
          <w:bCs/>
          <w:spacing w:val="-4"/>
          <w:sz w:val="24"/>
          <w:szCs w:val="24"/>
        </w:rPr>
        <w:t xml:space="preserve">d. Partenerii internaționali se obligă să: </w:t>
      </w:r>
    </w:p>
    <w:p w:rsidR="00C1725B" w:rsidRPr="00645FAD" w:rsidRDefault="00C1725B" w:rsidP="002262EB">
      <w:pPr>
        <w:jc w:val="both"/>
        <w:rPr>
          <w:rFonts w:ascii="Times New Roman" w:hAnsi="Times New Roman" w:cs="Times New Roman"/>
          <w:bCs/>
          <w:spacing w:val="-4"/>
          <w:sz w:val="24"/>
          <w:szCs w:val="24"/>
        </w:rPr>
      </w:pPr>
      <w:r w:rsidRPr="00645FAD">
        <w:rPr>
          <w:rFonts w:ascii="Times New Roman" w:hAnsi="Times New Roman" w:cs="Times New Roman"/>
          <w:bCs/>
          <w:spacing w:val="-4"/>
          <w:sz w:val="24"/>
          <w:szCs w:val="24"/>
        </w:rPr>
        <w:t>a) numească o persoană responsabilă din cadrul instituției care să se ocupe de implementarea activităților din proiect</w:t>
      </w:r>
    </w:p>
    <w:p w:rsidR="00C1725B" w:rsidRPr="00645FAD" w:rsidRDefault="00C1725B" w:rsidP="002262EB">
      <w:pPr>
        <w:jc w:val="both"/>
        <w:rPr>
          <w:rFonts w:ascii="Times New Roman" w:hAnsi="Times New Roman" w:cs="Times New Roman"/>
          <w:bCs/>
          <w:spacing w:val="-4"/>
          <w:sz w:val="24"/>
          <w:szCs w:val="24"/>
        </w:rPr>
      </w:pPr>
      <w:r w:rsidRPr="00645FAD">
        <w:rPr>
          <w:rFonts w:ascii="Times New Roman" w:hAnsi="Times New Roman" w:cs="Times New Roman"/>
          <w:bCs/>
          <w:spacing w:val="-4"/>
          <w:sz w:val="24"/>
          <w:szCs w:val="24"/>
        </w:rPr>
        <w:t>b) garanteze un feedback constant cu privire la stadiul de implementare a activităților proiectului</w:t>
      </w:r>
    </w:p>
    <w:p w:rsidR="00C1725B" w:rsidRPr="00645FAD" w:rsidRDefault="00C1725B" w:rsidP="002262EB">
      <w:pPr>
        <w:jc w:val="both"/>
        <w:rPr>
          <w:rFonts w:ascii="Times New Roman" w:hAnsi="Times New Roman" w:cs="Times New Roman"/>
          <w:bCs/>
          <w:spacing w:val="-4"/>
          <w:sz w:val="24"/>
          <w:szCs w:val="24"/>
        </w:rPr>
      </w:pPr>
      <w:r w:rsidRPr="00645FAD">
        <w:rPr>
          <w:rFonts w:ascii="Times New Roman" w:hAnsi="Times New Roman" w:cs="Times New Roman"/>
          <w:bCs/>
          <w:spacing w:val="-4"/>
          <w:sz w:val="24"/>
          <w:szCs w:val="24"/>
        </w:rPr>
        <w:t>c) susțină partenerul coordonator în implementarea activităților proiectului</w:t>
      </w:r>
    </w:p>
    <w:p w:rsidR="00C1725B" w:rsidRPr="00645FAD" w:rsidRDefault="00C1725B" w:rsidP="002262EB">
      <w:pPr>
        <w:jc w:val="both"/>
        <w:rPr>
          <w:rFonts w:ascii="Times New Roman" w:hAnsi="Times New Roman" w:cs="Times New Roman"/>
          <w:bCs/>
          <w:spacing w:val="-4"/>
          <w:sz w:val="24"/>
          <w:szCs w:val="24"/>
        </w:rPr>
      </w:pPr>
      <w:r w:rsidRPr="00645FAD">
        <w:rPr>
          <w:rFonts w:ascii="Times New Roman" w:hAnsi="Times New Roman" w:cs="Times New Roman"/>
          <w:bCs/>
          <w:spacing w:val="-4"/>
          <w:sz w:val="24"/>
          <w:szCs w:val="24"/>
        </w:rPr>
        <w:t>d) stabilească eșantionul în orașul său, conform metodologiei Youth in Europe, prin eșentionarea claselor în mod randomizat</w:t>
      </w:r>
    </w:p>
    <w:p w:rsidR="00C1725B" w:rsidRPr="00645FAD" w:rsidRDefault="00C1725B" w:rsidP="002262EB">
      <w:pPr>
        <w:jc w:val="both"/>
        <w:rPr>
          <w:rFonts w:ascii="Times New Roman" w:hAnsi="Times New Roman" w:cs="Times New Roman"/>
          <w:bCs/>
          <w:spacing w:val="-4"/>
          <w:sz w:val="24"/>
          <w:szCs w:val="24"/>
        </w:rPr>
      </w:pPr>
      <w:r w:rsidRPr="00645FAD">
        <w:rPr>
          <w:rFonts w:ascii="Times New Roman" w:hAnsi="Times New Roman" w:cs="Times New Roman"/>
          <w:bCs/>
          <w:spacing w:val="-4"/>
          <w:sz w:val="24"/>
          <w:szCs w:val="24"/>
        </w:rPr>
        <w:lastRenderedPageBreak/>
        <w:t>e) contacteze școlile și autoritățile locale pentru a se asigura culegerea datelor în conformitate cu reglementările legale în vogoare; să semneze convenții de parteneriat cu toate instituțiile implicate</w:t>
      </w:r>
    </w:p>
    <w:p w:rsidR="00C1725B" w:rsidRPr="00645FAD" w:rsidRDefault="00C1725B" w:rsidP="002262EB">
      <w:pPr>
        <w:jc w:val="both"/>
        <w:rPr>
          <w:rFonts w:ascii="Times New Roman" w:hAnsi="Times New Roman" w:cs="Times New Roman"/>
          <w:bCs/>
          <w:spacing w:val="-4"/>
          <w:sz w:val="24"/>
          <w:szCs w:val="24"/>
        </w:rPr>
      </w:pPr>
      <w:r w:rsidRPr="00645FAD">
        <w:rPr>
          <w:rFonts w:ascii="Times New Roman" w:hAnsi="Times New Roman" w:cs="Times New Roman"/>
          <w:bCs/>
          <w:spacing w:val="-4"/>
          <w:sz w:val="24"/>
          <w:szCs w:val="24"/>
        </w:rPr>
        <w:t>f) trimită (dacă este cazul) scrisorile pentru a informa și a cere acordul părinților, folosind modelul Youth in Europe</w:t>
      </w:r>
    </w:p>
    <w:p w:rsidR="0069132A" w:rsidRPr="00645FAD" w:rsidRDefault="0069132A" w:rsidP="002262EB">
      <w:pPr>
        <w:jc w:val="both"/>
        <w:rPr>
          <w:rFonts w:ascii="Times New Roman" w:hAnsi="Times New Roman" w:cs="Times New Roman"/>
          <w:bCs/>
          <w:spacing w:val="-4"/>
          <w:sz w:val="24"/>
          <w:szCs w:val="24"/>
        </w:rPr>
      </w:pPr>
      <w:r w:rsidRPr="00645FAD">
        <w:rPr>
          <w:rFonts w:ascii="Times New Roman" w:hAnsi="Times New Roman" w:cs="Times New Roman"/>
          <w:bCs/>
          <w:spacing w:val="-4"/>
          <w:sz w:val="24"/>
          <w:szCs w:val="24"/>
        </w:rPr>
        <w:t>g) se asigură de aplicarea chestionarelor în școli, colectează plicurile sigilate după ce chestionarele au fost completate de către elevi, trimite chestionarele completate la locația unde se va desfășura scanarea optică</w:t>
      </w:r>
    </w:p>
    <w:p w:rsidR="0069132A" w:rsidRPr="00645FAD" w:rsidRDefault="0069132A" w:rsidP="002262EB">
      <w:pPr>
        <w:jc w:val="both"/>
        <w:rPr>
          <w:rFonts w:ascii="Times New Roman" w:hAnsi="Times New Roman" w:cs="Times New Roman"/>
          <w:bCs/>
          <w:spacing w:val="-4"/>
          <w:sz w:val="24"/>
          <w:szCs w:val="24"/>
        </w:rPr>
      </w:pPr>
      <w:r w:rsidRPr="00645FAD">
        <w:rPr>
          <w:rFonts w:ascii="Times New Roman" w:hAnsi="Times New Roman" w:cs="Times New Roman"/>
          <w:bCs/>
          <w:spacing w:val="-4"/>
          <w:sz w:val="24"/>
          <w:szCs w:val="24"/>
        </w:rPr>
        <w:t>h) la solicitarea partenerului coordonator, completează un raport tehnic, după ce s-a finalizat etapa de colectare a datelor</w:t>
      </w:r>
    </w:p>
    <w:p w:rsidR="0069132A" w:rsidRPr="00645FAD" w:rsidRDefault="0069132A" w:rsidP="002262EB">
      <w:pPr>
        <w:jc w:val="both"/>
        <w:rPr>
          <w:rFonts w:ascii="Times New Roman" w:hAnsi="Times New Roman" w:cs="Times New Roman"/>
          <w:bCs/>
          <w:spacing w:val="-4"/>
          <w:sz w:val="24"/>
          <w:szCs w:val="24"/>
        </w:rPr>
      </w:pPr>
      <w:r w:rsidRPr="00645FAD">
        <w:rPr>
          <w:rFonts w:ascii="Times New Roman" w:hAnsi="Times New Roman" w:cs="Times New Roman"/>
          <w:bCs/>
          <w:spacing w:val="-4"/>
          <w:sz w:val="24"/>
          <w:szCs w:val="24"/>
        </w:rPr>
        <w:t>i) organizează un eveniment public (conferință, masă rotundă, seminar) împreună cu organizații/instituții din comunitate pentru a disemnina rezultatele obținute în urma colectării datelor</w:t>
      </w:r>
    </w:p>
    <w:p w:rsidR="0069132A" w:rsidRPr="00645FAD" w:rsidRDefault="0069132A" w:rsidP="002262EB">
      <w:pPr>
        <w:jc w:val="both"/>
        <w:rPr>
          <w:rFonts w:ascii="Times New Roman" w:hAnsi="Times New Roman" w:cs="Times New Roman"/>
          <w:bCs/>
          <w:spacing w:val="-4"/>
          <w:sz w:val="24"/>
          <w:szCs w:val="24"/>
        </w:rPr>
      </w:pPr>
      <w:r w:rsidRPr="00645FAD">
        <w:rPr>
          <w:rFonts w:ascii="Times New Roman" w:hAnsi="Times New Roman" w:cs="Times New Roman"/>
          <w:bCs/>
          <w:spacing w:val="-4"/>
          <w:sz w:val="24"/>
          <w:szCs w:val="24"/>
        </w:rPr>
        <w:t>e. Fiecare dintre parteneri trebuie să implementeze activitățile proiectului după cum sunt descrise, conform metodologiei Youth in Europe și să suporte costurile financiare necesare imprimării și transportării (</w:t>
      </w:r>
      <w:r w:rsidR="000C5CF1" w:rsidRPr="00645FAD">
        <w:rPr>
          <w:rFonts w:ascii="Times New Roman" w:hAnsi="Times New Roman" w:cs="Times New Roman"/>
          <w:bCs/>
          <w:spacing w:val="-4"/>
          <w:sz w:val="24"/>
          <w:szCs w:val="24"/>
        </w:rPr>
        <w:t>de la sediul firmei care realizează imprimarea și, ulterior completării chestionarelor, la locația firmei selectate pentru a realiza scanarea optică)</w:t>
      </w:r>
      <w:r w:rsidRPr="00645FAD">
        <w:rPr>
          <w:rFonts w:ascii="Times New Roman" w:hAnsi="Times New Roman" w:cs="Times New Roman"/>
          <w:bCs/>
          <w:spacing w:val="-4"/>
          <w:sz w:val="24"/>
          <w:szCs w:val="24"/>
        </w:rPr>
        <w:t xml:space="preserve"> chestionarelor</w:t>
      </w:r>
      <w:r w:rsidR="000C5CF1" w:rsidRPr="00645FAD">
        <w:rPr>
          <w:rFonts w:ascii="Times New Roman" w:hAnsi="Times New Roman" w:cs="Times New Roman"/>
          <w:bCs/>
          <w:spacing w:val="-4"/>
          <w:sz w:val="24"/>
          <w:szCs w:val="24"/>
        </w:rPr>
        <w:t>.</w:t>
      </w:r>
      <w:r w:rsidRPr="00645FAD">
        <w:rPr>
          <w:rFonts w:ascii="Times New Roman" w:hAnsi="Times New Roman" w:cs="Times New Roman"/>
          <w:bCs/>
          <w:spacing w:val="-4"/>
          <w:sz w:val="24"/>
          <w:szCs w:val="24"/>
        </w:rPr>
        <w:t xml:space="preserve"> </w:t>
      </w:r>
    </w:p>
    <w:p w:rsidR="00811542" w:rsidRPr="00645FAD" w:rsidRDefault="00811542" w:rsidP="002262EB">
      <w:pPr>
        <w:jc w:val="both"/>
        <w:rPr>
          <w:rFonts w:ascii="Times New Roman" w:hAnsi="Times New Roman" w:cs="Times New Roman"/>
          <w:b/>
          <w:bCs/>
          <w:spacing w:val="-4"/>
          <w:sz w:val="24"/>
          <w:szCs w:val="24"/>
        </w:rPr>
      </w:pPr>
      <w:r w:rsidRPr="00645FAD">
        <w:rPr>
          <w:rFonts w:ascii="Times New Roman" w:hAnsi="Times New Roman" w:cs="Times New Roman"/>
          <w:b/>
          <w:bCs/>
          <w:spacing w:val="-4"/>
          <w:sz w:val="24"/>
          <w:szCs w:val="24"/>
        </w:rPr>
        <w:t>4. Managementul finanțelor și costuri</w:t>
      </w:r>
    </w:p>
    <w:p w:rsidR="00811542" w:rsidRPr="00645FAD" w:rsidRDefault="00811542" w:rsidP="002262EB">
      <w:pPr>
        <w:jc w:val="both"/>
        <w:rPr>
          <w:rFonts w:ascii="Times New Roman" w:hAnsi="Times New Roman" w:cs="Times New Roman"/>
          <w:bCs/>
          <w:spacing w:val="-4"/>
          <w:sz w:val="24"/>
          <w:szCs w:val="24"/>
        </w:rPr>
      </w:pPr>
      <w:r w:rsidRPr="00645FAD">
        <w:rPr>
          <w:rFonts w:ascii="Times New Roman" w:hAnsi="Times New Roman" w:cs="Times New Roman"/>
          <w:bCs/>
          <w:spacing w:val="-4"/>
          <w:sz w:val="24"/>
          <w:szCs w:val="24"/>
        </w:rPr>
        <w:t>a. Costurile vor fi administrate respectând legile naționale și internaționale.</w:t>
      </w:r>
    </w:p>
    <w:p w:rsidR="00253999" w:rsidRPr="00645FAD" w:rsidRDefault="00811542" w:rsidP="002262EB">
      <w:pPr>
        <w:jc w:val="both"/>
        <w:rPr>
          <w:rFonts w:ascii="Times New Roman" w:hAnsi="Times New Roman" w:cs="Times New Roman"/>
          <w:bCs/>
          <w:spacing w:val="-4"/>
          <w:sz w:val="24"/>
          <w:szCs w:val="24"/>
        </w:rPr>
      </w:pPr>
      <w:r w:rsidRPr="00645FAD">
        <w:rPr>
          <w:rFonts w:ascii="Times New Roman" w:hAnsi="Times New Roman" w:cs="Times New Roman"/>
          <w:bCs/>
          <w:spacing w:val="-4"/>
          <w:sz w:val="24"/>
          <w:szCs w:val="24"/>
        </w:rPr>
        <w:t xml:space="preserve">b. Pe parcursul desfășurării proiectului, coordonatorul acestuia va preciza numărul de cont unde partenerii vor depune sumele necesare pentru a acoperi costurile cu imprimarea chestionarelor și a plicurilor de confidențialitate, precum și cele cu transportul de la imprimerie la sediul partenerului și, după completare, la locația aleasă pentru scanarea optică. </w:t>
      </w:r>
    </w:p>
    <w:p w:rsidR="00811542" w:rsidRPr="00645FAD" w:rsidRDefault="00253999" w:rsidP="002262EB">
      <w:pPr>
        <w:jc w:val="both"/>
        <w:rPr>
          <w:rFonts w:ascii="Times New Roman" w:hAnsi="Times New Roman" w:cs="Times New Roman"/>
          <w:bCs/>
          <w:spacing w:val="-4"/>
          <w:sz w:val="24"/>
          <w:szCs w:val="24"/>
        </w:rPr>
      </w:pPr>
      <w:r w:rsidRPr="00645FAD">
        <w:rPr>
          <w:rFonts w:ascii="Times New Roman" w:hAnsi="Times New Roman" w:cs="Times New Roman"/>
          <w:bCs/>
          <w:spacing w:val="-4"/>
          <w:sz w:val="24"/>
          <w:szCs w:val="24"/>
        </w:rPr>
        <w:t xml:space="preserve">c. Partenerul internațional va fi responsabil de găsirea celei mai bune opțiuni în ceea ce privește costurile și calitatea, cu privire la costurile legate de transportul chestionarelor completate la locația unde se va realiza scanarea optică, în conformitate cu metodolgia Youth in Europe (chestionarele trebuie să fie grupate pe școli, apoi adunate într-un palet și înfoliate pentru a ne asigura că sunt păstrate intacte pe parcursul livrării). </w:t>
      </w:r>
      <w:r w:rsidR="00811542" w:rsidRPr="00645FAD">
        <w:rPr>
          <w:rFonts w:ascii="Times New Roman" w:hAnsi="Times New Roman" w:cs="Times New Roman"/>
          <w:bCs/>
          <w:spacing w:val="-4"/>
          <w:sz w:val="24"/>
          <w:szCs w:val="24"/>
        </w:rPr>
        <w:t xml:space="preserve"> </w:t>
      </w:r>
    </w:p>
    <w:p w:rsidR="0069132A" w:rsidRPr="00645FAD" w:rsidRDefault="00253999" w:rsidP="00855E29">
      <w:pPr>
        <w:jc w:val="both"/>
        <w:rPr>
          <w:rFonts w:ascii="Times New Roman" w:hAnsi="Times New Roman" w:cs="Times New Roman"/>
          <w:bCs/>
          <w:spacing w:val="-4"/>
          <w:sz w:val="24"/>
          <w:szCs w:val="24"/>
        </w:rPr>
      </w:pPr>
      <w:r w:rsidRPr="00645FAD">
        <w:rPr>
          <w:rFonts w:ascii="Times New Roman" w:hAnsi="Times New Roman" w:cs="Times New Roman"/>
          <w:bCs/>
          <w:spacing w:val="-4"/>
          <w:sz w:val="24"/>
          <w:szCs w:val="24"/>
        </w:rPr>
        <w:t xml:space="preserve">d. Ulterior semnării acordurilor de parteneriat, partenerul coordonator va selecta locația unde se va realiza imprimarea, respectând cel mai bun raport cost-calitate, va comunica costurile finale necesare imprimării chestionarelor și </w:t>
      </w:r>
      <w:r w:rsidR="00855E29" w:rsidRPr="00645FAD">
        <w:rPr>
          <w:rFonts w:ascii="Times New Roman" w:hAnsi="Times New Roman" w:cs="Times New Roman"/>
          <w:bCs/>
          <w:spacing w:val="-4"/>
          <w:sz w:val="24"/>
          <w:szCs w:val="24"/>
        </w:rPr>
        <w:t xml:space="preserve">plicurilor, cât și costurile pentru transport. Aceeași procedură va fi urmată în toți anii în care sunt aplicate chestionarele, având în vedere că pot apărea variații în costul final, pe parcursul anilor. </w:t>
      </w:r>
      <w:r w:rsidRPr="00645FAD">
        <w:rPr>
          <w:rFonts w:ascii="Times New Roman" w:hAnsi="Times New Roman" w:cs="Times New Roman"/>
          <w:bCs/>
          <w:spacing w:val="-4"/>
          <w:sz w:val="24"/>
          <w:szCs w:val="24"/>
        </w:rPr>
        <w:t xml:space="preserve"> </w:t>
      </w:r>
    </w:p>
    <w:p w:rsidR="00855E29" w:rsidRPr="00645FAD" w:rsidRDefault="00855E29" w:rsidP="00855E29">
      <w:pPr>
        <w:jc w:val="both"/>
        <w:rPr>
          <w:rFonts w:ascii="Times New Roman" w:hAnsi="Times New Roman" w:cs="Times New Roman"/>
          <w:spacing w:val="-4"/>
          <w:kern w:val="24"/>
          <w:sz w:val="24"/>
          <w:szCs w:val="24"/>
          <w:lang w:val="en-GB"/>
        </w:rPr>
      </w:pPr>
      <w:r w:rsidRPr="00645FAD">
        <w:rPr>
          <w:rFonts w:ascii="Times New Roman" w:hAnsi="Times New Roman" w:cs="Times New Roman"/>
          <w:bCs/>
          <w:spacing w:val="-4"/>
          <w:sz w:val="24"/>
          <w:szCs w:val="24"/>
        </w:rPr>
        <w:t xml:space="preserve">e. Fiecare dintre părți este responsabilă de bugetul său și se angajează să asigure partea de co-finanțare stabilită. Această co-finanțare trebuie să fie documentată conform prevederilor legale naționale, fiecare partener fiind responsabil de acest aspect.  </w:t>
      </w:r>
    </w:p>
    <w:p w:rsidR="0069132A" w:rsidRPr="00645FAD" w:rsidRDefault="004664EE" w:rsidP="004664EE">
      <w:pPr>
        <w:pStyle w:val="BodyText"/>
        <w:spacing w:after="0"/>
        <w:jc w:val="both"/>
        <w:rPr>
          <w:rFonts w:cs="Times New Roman"/>
          <w:spacing w:val="-4"/>
          <w:kern w:val="24"/>
          <w:lang w:val="ro-RO"/>
        </w:rPr>
      </w:pPr>
      <w:r w:rsidRPr="00645FAD">
        <w:rPr>
          <w:rFonts w:cs="Times New Roman"/>
          <w:b/>
          <w:spacing w:val="-4"/>
          <w:kern w:val="24"/>
          <w:lang w:val="ro-RO"/>
        </w:rPr>
        <w:t>5. Rapoarte și documente</w:t>
      </w:r>
    </w:p>
    <w:p w:rsidR="00F06040" w:rsidRPr="00645FAD" w:rsidRDefault="004664EE" w:rsidP="004664EE">
      <w:pPr>
        <w:widowControl w:val="0"/>
        <w:jc w:val="both"/>
        <w:rPr>
          <w:rFonts w:ascii="Times New Roman" w:hAnsi="Times New Roman" w:cs="Times New Roman"/>
          <w:spacing w:val="-4"/>
          <w:sz w:val="24"/>
          <w:szCs w:val="24"/>
        </w:rPr>
      </w:pPr>
      <w:r w:rsidRPr="00645FAD">
        <w:rPr>
          <w:rFonts w:ascii="Times New Roman" w:hAnsi="Times New Roman" w:cs="Times New Roman"/>
          <w:spacing w:val="-4"/>
          <w:sz w:val="24"/>
          <w:szCs w:val="24"/>
        </w:rPr>
        <w:t>a. Fiecare partener</w:t>
      </w:r>
      <w:r w:rsidR="00F06040" w:rsidRPr="00645FAD">
        <w:rPr>
          <w:rFonts w:ascii="Times New Roman" w:hAnsi="Times New Roman" w:cs="Times New Roman"/>
          <w:spacing w:val="-4"/>
          <w:sz w:val="24"/>
          <w:szCs w:val="24"/>
        </w:rPr>
        <w:t xml:space="preserve"> internațional va fi implicat în activitățile administrative legate de managementul bugetului propriu și va trimite partenerului coordonator sumele necesare pentru a acoperi costurile cu imprimarea și transportul, precum și cu raportul tehnic general al proiectului.</w:t>
      </w:r>
    </w:p>
    <w:p w:rsidR="00637A15" w:rsidRPr="00645FAD" w:rsidRDefault="00F06040" w:rsidP="004664EE">
      <w:pPr>
        <w:widowControl w:val="0"/>
        <w:jc w:val="both"/>
        <w:rPr>
          <w:rFonts w:ascii="Times New Roman" w:hAnsi="Times New Roman" w:cs="Times New Roman"/>
          <w:spacing w:val="-4"/>
          <w:sz w:val="24"/>
          <w:szCs w:val="24"/>
        </w:rPr>
      </w:pPr>
      <w:r w:rsidRPr="00645FAD">
        <w:rPr>
          <w:rFonts w:ascii="Times New Roman" w:hAnsi="Times New Roman" w:cs="Times New Roman"/>
          <w:spacing w:val="-4"/>
          <w:sz w:val="24"/>
          <w:szCs w:val="24"/>
        </w:rPr>
        <w:t xml:space="preserve">b. </w:t>
      </w:r>
      <w:r w:rsidR="005819EF" w:rsidRPr="00645FAD">
        <w:rPr>
          <w:rFonts w:ascii="Times New Roman" w:hAnsi="Times New Roman" w:cs="Times New Roman"/>
          <w:spacing w:val="-4"/>
          <w:sz w:val="24"/>
          <w:szCs w:val="24"/>
        </w:rPr>
        <w:t>Acțiunile p</w:t>
      </w:r>
      <w:r w:rsidRPr="00645FAD">
        <w:rPr>
          <w:rFonts w:ascii="Times New Roman" w:hAnsi="Times New Roman" w:cs="Times New Roman"/>
          <w:spacing w:val="-4"/>
          <w:sz w:val="24"/>
          <w:szCs w:val="24"/>
        </w:rPr>
        <w:t>arteneri</w:t>
      </w:r>
      <w:r w:rsidR="005819EF" w:rsidRPr="00645FAD">
        <w:rPr>
          <w:rFonts w:ascii="Times New Roman" w:hAnsi="Times New Roman" w:cs="Times New Roman"/>
          <w:spacing w:val="-4"/>
          <w:sz w:val="24"/>
          <w:szCs w:val="24"/>
        </w:rPr>
        <w:t>lor</w:t>
      </w:r>
      <w:r w:rsidRPr="00645FAD">
        <w:rPr>
          <w:rFonts w:ascii="Times New Roman" w:hAnsi="Times New Roman" w:cs="Times New Roman"/>
          <w:spacing w:val="-4"/>
          <w:sz w:val="24"/>
          <w:szCs w:val="24"/>
        </w:rPr>
        <w:t xml:space="preserve"> (cel coordonator și cei internaționali) </w:t>
      </w:r>
      <w:r w:rsidR="005819EF" w:rsidRPr="00645FAD">
        <w:rPr>
          <w:rFonts w:ascii="Times New Roman" w:hAnsi="Times New Roman" w:cs="Times New Roman"/>
          <w:spacing w:val="-4"/>
          <w:sz w:val="24"/>
          <w:szCs w:val="24"/>
        </w:rPr>
        <w:t xml:space="preserve">vor fi în perfect acord cu reglementările </w:t>
      </w:r>
      <w:r w:rsidR="005819EF" w:rsidRPr="00645FAD">
        <w:rPr>
          <w:rFonts w:ascii="Times New Roman" w:hAnsi="Times New Roman" w:cs="Times New Roman"/>
          <w:spacing w:val="-4"/>
          <w:sz w:val="24"/>
          <w:szCs w:val="24"/>
        </w:rPr>
        <w:lastRenderedPageBreak/>
        <w:t>legale naționale și internaționale, precum și cu metodologia Youth in Europe. În orice fază a proiectului, partenerul coordonator va acorda sprijin suplimetar celorlalți parteneri, la cererea lor.</w:t>
      </w:r>
    </w:p>
    <w:p w:rsidR="00637A15" w:rsidRPr="00645FAD" w:rsidRDefault="00637A15" w:rsidP="004664EE">
      <w:pPr>
        <w:widowControl w:val="0"/>
        <w:jc w:val="both"/>
        <w:rPr>
          <w:rFonts w:ascii="Times New Roman" w:hAnsi="Times New Roman" w:cs="Times New Roman"/>
          <w:b/>
          <w:spacing w:val="-4"/>
          <w:sz w:val="24"/>
          <w:szCs w:val="24"/>
        </w:rPr>
      </w:pPr>
      <w:r w:rsidRPr="00645FAD">
        <w:rPr>
          <w:rFonts w:ascii="Times New Roman" w:hAnsi="Times New Roman" w:cs="Times New Roman"/>
          <w:b/>
          <w:spacing w:val="-4"/>
          <w:sz w:val="24"/>
          <w:szCs w:val="24"/>
        </w:rPr>
        <w:t>6. Modificări</w:t>
      </w:r>
    </w:p>
    <w:p w:rsidR="00811542" w:rsidRPr="00645FAD" w:rsidRDefault="00637A15" w:rsidP="004664EE">
      <w:pPr>
        <w:widowControl w:val="0"/>
        <w:jc w:val="both"/>
        <w:rPr>
          <w:rFonts w:ascii="Times New Roman" w:hAnsi="Times New Roman" w:cs="Times New Roman"/>
          <w:spacing w:val="-4"/>
          <w:sz w:val="24"/>
          <w:szCs w:val="24"/>
        </w:rPr>
      </w:pPr>
      <w:r w:rsidRPr="00645FAD">
        <w:rPr>
          <w:rFonts w:ascii="Times New Roman" w:hAnsi="Times New Roman" w:cs="Times New Roman"/>
          <w:spacing w:val="-4"/>
          <w:sz w:val="24"/>
          <w:szCs w:val="24"/>
        </w:rPr>
        <w:t xml:space="preserve">Orice modificare a prezentului acord se poate face prin implicarea și acordul tuturor părților semnatare, în funcție de nevoile care se pot ivi în faza de implementare. Sub nici o formă aceste modificări nu pot aduce atingere principalelor activități, obiectivelor și rezultatelor așteptate de la proiect, prevăzute în acordul de parteneriat, cu excepțiile prevăzute de reglementările internaționale. </w:t>
      </w:r>
      <w:r w:rsidR="00811542" w:rsidRPr="00645FAD">
        <w:rPr>
          <w:rFonts w:ascii="Times New Roman" w:hAnsi="Times New Roman" w:cs="Times New Roman"/>
          <w:spacing w:val="-4"/>
          <w:sz w:val="24"/>
          <w:szCs w:val="24"/>
        </w:rPr>
        <w:tab/>
        <w:t xml:space="preserve"> </w:t>
      </w:r>
    </w:p>
    <w:p w:rsidR="00637A15" w:rsidRPr="00645FAD" w:rsidRDefault="00267FF7" w:rsidP="00637A15">
      <w:pPr>
        <w:pStyle w:val="BodyText"/>
        <w:spacing w:after="0"/>
        <w:jc w:val="both"/>
        <w:rPr>
          <w:rFonts w:cs="Times New Roman"/>
          <w:bCs/>
          <w:spacing w:val="-4"/>
          <w:lang w:val="ro-RO"/>
        </w:rPr>
      </w:pPr>
      <w:r w:rsidRPr="00645FAD">
        <w:rPr>
          <w:rFonts w:cs="Times New Roman"/>
          <w:b/>
          <w:bCs/>
          <w:spacing w:val="-4"/>
          <w:lang w:val="ro-RO"/>
        </w:rPr>
        <w:t>7</w:t>
      </w:r>
      <w:r w:rsidR="002C0C9E" w:rsidRPr="00645FAD">
        <w:rPr>
          <w:rFonts w:cs="Times New Roman"/>
          <w:b/>
          <w:bCs/>
          <w:spacing w:val="-4"/>
          <w:lang w:val="ro-RO"/>
        </w:rPr>
        <w:t>. Litigii</w:t>
      </w:r>
    </w:p>
    <w:p w:rsidR="002C0C9E" w:rsidRPr="00645FAD" w:rsidRDefault="002C0C9E" w:rsidP="00637A15">
      <w:pPr>
        <w:pStyle w:val="BodyText"/>
        <w:spacing w:after="0"/>
        <w:jc w:val="both"/>
        <w:rPr>
          <w:rFonts w:cs="Times New Roman"/>
          <w:spacing w:val="-4"/>
          <w:lang w:val="ro-RO" w:eastAsia="it-IT"/>
        </w:rPr>
      </w:pPr>
      <w:r w:rsidRPr="00645FAD">
        <w:rPr>
          <w:rFonts w:cs="Times New Roman"/>
          <w:bCs/>
          <w:spacing w:val="-4"/>
          <w:lang w:val="ro-RO"/>
        </w:rPr>
        <w:t xml:space="preserve">Se vor depune eforturi pentru rezolvarea amiabilă a litigiilor. În cazul în care nu se va ajunge la o înțelegere, erbitrajul va avea loc la </w:t>
      </w:r>
      <w:r w:rsidRPr="00645FAD">
        <w:rPr>
          <w:rFonts w:cs="Times New Roman"/>
          <w:spacing w:val="-4"/>
          <w:lang w:val="ro-RO"/>
        </w:rPr>
        <w:t>Reykjavik</w:t>
      </w:r>
      <w:r w:rsidRPr="00645FAD">
        <w:rPr>
          <w:rFonts w:cs="Times New Roman"/>
          <w:spacing w:val="-4"/>
          <w:lang w:val="ro-RO" w:eastAsia="it-IT"/>
        </w:rPr>
        <w:t>.</w:t>
      </w:r>
    </w:p>
    <w:p w:rsidR="00267FF7" w:rsidRPr="00645FAD" w:rsidRDefault="00267FF7" w:rsidP="00637A15">
      <w:pPr>
        <w:pStyle w:val="BodyText"/>
        <w:spacing w:after="0"/>
        <w:jc w:val="both"/>
        <w:rPr>
          <w:rFonts w:cs="Times New Roman"/>
          <w:spacing w:val="-4"/>
          <w:lang w:val="ro-RO" w:eastAsia="it-IT"/>
        </w:rPr>
      </w:pPr>
    </w:p>
    <w:p w:rsidR="00267FF7" w:rsidRPr="00645FAD" w:rsidRDefault="00267FF7" w:rsidP="00637A15">
      <w:pPr>
        <w:pStyle w:val="BodyText"/>
        <w:spacing w:after="0"/>
        <w:jc w:val="both"/>
        <w:rPr>
          <w:rFonts w:cs="Times New Roman"/>
          <w:b/>
          <w:spacing w:val="-4"/>
          <w:lang w:val="ro-RO" w:eastAsia="it-IT"/>
        </w:rPr>
      </w:pPr>
      <w:r w:rsidRPr="00645FAD">
        <w:rPr>
          <w:rFonts w:cs="Times New Roman"/>
          <w:b/>
          <w:spacing w:val="-4"/>
          <w:lang w:val="ro-RO" w:eastAsia="it-IT"/>
        </w:rPr>
        <w:t>8. Listă de anexe</w:t>
      </w:r>
    </w:p>
    <w:p w:rsidR="00267FF7" w:rsidRPr="00645FAD" w:rsidRDefault="00267FF7" w:rsidP="00637A15">
      <w:pPr>
        <w:pStyle w:val="BodyText"/>
        <w:spacing w:after="0"/>
        <w:jc w:val="both"/>
        <w:rPr>
          <w:rFonts w:cs="Times New Roman"/>
          <w:spacing w:val="-4"/>
          <w:lang w:val="ro-RO" w:eastAsia="it-IT"/>
        </w:rPr>
      </w:pPr>
      <w:r w:rsidRPr="00645FAD">
        <w:rPr>
          <w:rFonts w:cs="Times New Roman"/>
          <w:spacing w:val="-4"/>
          <w:lang w:val="ro-RO" w:eastAsia="it-IT"/>
        </w:rPr>
        <w:t>Bugetul general al orașelor participante la proiect</w:t>
      </w:r>
    </w:p>
    <w:p w:rsidR="00267FF7" w:rsidRPr="00645FAD" w:rsidRDefault="00267FF7" w:rsidP="00637A15">
      <w:pPr>
        <w:pStyle w:val="BodyText"/>
        <w:spacing w:after="0"/>
        <w:jc w:val="both"/>
        <w:rPr>
          <w:rFonts w:cs="Times New Roman"/>
          <w:spacing w:val="-4"/>
          <w:lang w:val="ro-RO" w:eastAsia="it-IT"/>
        </w:rPr>
      </w:pPr>
    </w:p>
    <w:p w:rsidR="00267FF7" w:rsidRPr="00645FAD" w:rsidRDefault="00267FF7" w:rsidP="00637A15">
      <w:pPr>
        <w:pStyle w:val="BodyText"/>
        <w:spacing w:after="0"/>
        <w:jc w:val="both"/>
        <w:rPr>
          <w:rFonts w:cs="Times New Roman"/>
          <w:bCs/>
          <w:spacing w:val="-4"/>
          <w:lang w:val="ro-RO"/>
        </w:rPr>
      </w:pPr>
    </w:p>
    <w:p w:rsidR="00267FF7" w:rsidRPr="00645FAD" w:rsidRDefault="00A11F67" w:rsidP="00267FF7">
      <w:pPr>
        <w:jc w:val="both"/>
        <w:rPr>
          <w:rFonts w:ascii="Times New Roman" w:hAnsi="Times New Roman" w:cs="Times New Roman"/>
          <w:i/>
          <w:iCs/>
          <w:spacing w:val="-4"/>
          <w:sz w:val="24"/>
          <w:szCs w:val="24"/>
        </w:rPr>
      </w:pPr>
      <w:r w:rsidRPr="00645FAD">
        <w:rPr>
          <w:rFonts w:ascii="Times New Roman" w:hAnsi="Times New Roman" w:cs="Times New Roman"/>
          <w:i/>
          <w:iCs/>
          <w:spacing w:val="-4"/>
          <w:sz w:val="24"/>
          <w:szCs w:val="24"/>
        </w:rPr>
        <w:t>Părțile semnează prezentul Acord de parteneriat în două exemplare, în limba română, ambele cu același conținut și cu aceeași valoare legală.</w:t>
      </w:r>
    </w:p>
    <w:p w:rsidR="00267FF7" w:rsidRPr="00645FAD" w:rsidRDefault="00267FF7" w:rsidP="00267FF7">
      <w:pPr>
        <w:jc w:val="both"/>
        <w:rPr>
          <w:rFonts w:ascii="Times New Roman" w:hAnsi="Times New Roman" w:cs="Times New Roman"/>
          <w:spacing w:val="-4"/>
          <w:sz w:val="24"/>
          <w:szCs w:val="24"/>
          <w:lang w:val="en-US"/>
        </w:rPr>
      </w:pPr>
      <w:bookmarkStart w:id="0" w:name="_GoBack"/>
      <w:bookmarkEnd w:id="0"/>
    </w:p>
    <w:p w:rsidR="00645FAD" w:rsidRDefault="00A11F67" w:rsidP="00645FAD">
      <w:pPr>
        <w:jc w:val="both"/>
        <w:rPr>
          <w:rFonts w:ascii="Times New Roman" w:hAnsi="Times New Roman" w:cs="Times New Roman"/>
          <w:i/>
          <w:iCs/>
          <w:spacing w:val="-4"/>
          <w:sz w:val="24"/>
          <w:szCs w:val="24"/>
          <w:lang w:val="it-IT"/>
        </w:rPr>
      </w:pPr>
      <w:r w:rsidRPr="00645FAD">
        <w:rPr>
          <w:rFonts w:ascii="Times New Roman" w:hAnsi="Times New Roman" w:cs="Times New Roman"/>
          <w:i/>
          <w:iCs/>
          <w:spacing w:val="-4"/>
          <w:sz w:val="24"/>
          <w:szCs w:val="24"/>
          <w:lang w:val="it-IT"/>
        </w:rPr>
        <w:t>The Icelandic Centre for Social Research and Analysis (ICSRA)</w:t>
      </w:r>
      <w:r w:rsidR="00645FAD">
        <w:rPr>
          <w:rFonts w:ascii="Times New Roman" w:hAnsi="Times New Roman" w:cs="Times New Roman"/>
          <w:i/>
          <w:iCs/>
          <w:spacing w:val="-4"/>
          <w:sz w:val="24"/>
          <w:szCs w:val="24"/>
          <w:lang w:val="it-IT"/>
        </w:rPr>
        <w:t xml:space="preserve">:              </w:t>
      </w:r>
      <w:r w:rsidRPr="00645FAD">
        <w:rPr>
          <w:rFonts w:ascii="Times New Roman" w:hAnsi="Times New Roman" w:cs="Times New Roman"/>
          <w:i/>
          <w:iCs/>
          <w:spacing w:val="-4"/>
          <w:sz w:val="24"/>
          <w:szCs w:val="24"/>
          <w:lang w:val="it-IT"/>
        </w:rPr>
        <w:t xml:space="preserve"> Municipiul Timișoara</w:t>
      </w:r>
    </w:p>
    <w:p w:rsidR="00A11F67" w:rsidRPr="00645FAD" w:rsidRDefault="00645FAD" w:rsidP="00645FAD">
      <w:pPr>
        <w:jc w:val="both"/>
        <w:rPr>
          <w:rFonts w:ascii="Times New Roman" w:hAnsi="Times New Roman" w:cs="Times New Roman"/>
          <w:i/>
          <w:iCs/>
          <w:spacing w:val="-4"/>
          <w:sz w:val="24"/>
          <w:szCs w:val="24"/>
          <w:lang w:val="it-IT"/>
        </w:rPr>
      </w:pPr>
      <w:r>
        <w:rPr>
          <w:rFonts w:ascii="Times New Roman" w:hAnsi="Times New Roman" w:cs="Times New Roman"/>
          <w:i/>
          <w:iCs/>
          <w:spacing w:val="-4"/>
          <w:sz w:val="24"/>
          <w:szCs w:val="24"/>
          <w:lang w:val="it-IT"/>
        </w:rPr>
        <w:t xml:space="preserve">                                      </w:t>
      </w:r>
      <w:r w:rsidR="00A11F67" w:rsidRPr="00645FAD">
        <w:rPr>
          <w:rFonts w:ascii="Times New Roman" w:hAnsi="Times New Roman" w:cs="Times New Roman"/>
          <w:iCs/>
          <w:spacing w:val="-4"/>
          <w:sz w:val="24"/>
          <w:szCs w:val="24"/>
          <w:lang w:val="it-IT"/>
        </w:rPr>
        <w:t>Director</w:t>
      </w:r>
      <w:r w:rsidR="00A11F67" w:rsidRPr="00645FAD">
        <w:rPr>
          <w:rFonts w:ascii="Times New Roman" w:hAnsi="Times New Roman" w:cs="Times New Roman"/>
          <w:i/>
          <w:iCs/>
          <w:spacing w:val="-4"/>
          <w:sz w:val="24"/>
          <w:szCs w:val="24"/>
          <w:lang w:val="it-IT"/>
        </w:rPr>
        <w:t xml:space="preserve"> </w:t>
      </w:r>
      <w:r w:rsidR="00A11F67" w:rsidRPr="00645FAD">
        <w:rPr>
          <w:rFonts w:ascii="Times New Roman" w:hAnsi="Times New Roman" w:cs="Times New Roman"/>
          <w:i/>
          <w:iCs/>
          <w:spacing w:val="-4"/>
          <w:sz w:val="24"/>
          <w:szCs w:val="24"/>
          <w:lang w:val="it-IT"/>
        </w:rPr>
        <w:tab/>
      </w:r>
      <w:r w:rsidR="00A11F67" w:rsidRPr="00645FAD">
        <w:rPr>
          <w:rFonts w:ascii="Times New Roman" w:hAnsi="Times New Roman" w:cs="Times New Roman"/>
          <w:i/>
          <w:iCs/>
          <w:spacing w:val="-4"/>
          <w:sz w:val="24"/>
          <w:szCs w:val="24"/>
          <w:lang w:val="it-IT"/>
        </w:rPr>
        <w:tab/>
      </w:r>
      <w:r w:rsidR="00A11F67" w:rsidRPr="00645FAD">
        <w:rPr>
          <w:rFonts w:ascii="Times New Roman" w:hAnsi="Times New Roman" w:cs="Times New Roman"/>
          <w:i/>
          <w:iCs/>
          <w:spacing w:val="-4"/>
          <w:sz w:val="24"/>
          <w:szCs w:val="24"/>
          <w:lang w:val="it-IT"/>
        </w:rPr>
        <w:tab/>
      </w:r>
      <w:r w:rsidR="00A11F67" w:rsidRPr="00645FAD">
        <w:rPr>
          <w:rFonts w:ascii="Times New Roman" w:hAnsi="Times New Roman" w:cs="Times New Roman"/>
          <w:i/>
          <w:iCs/>
          <w:spacing w:val="-4"/>
          <w:sz w:val="24"/>
          <w:szCs w:val="24"/>
          <w:lang w:val="it-IT"/>
        </w:rPr>
        <w:tab/>
      </w:r>
      <w:r w:rsidR="00A11F67" w:rsidRPr="00645FAD">
        <w:rPr>
          <w:rFonts w:ascii="Times New Roman" w:hAnsi="Times New Roman" w:cs="Times New Roman"/>
          <w:i/>
          <w:iCs/>
          <w:spacing w:val="-4"/>
          <w:sz w:val="24"/>
          <w:szCs w:val="24"/>
          <w:lang w:val="it-IT"/>
        </w:rPr>
        <w:tab/>
      </w:r>
      <w:r w:rsidR="00A11F67" w:rsidRPr="00645FAD">
        <w:rPr>
          <w:rFonts w:ascii="Times New Roman" w:hAnsi="Times New Roman" w:cs="Times New Roman"/>
          <w:i/>
          <w:iCs/>
          <w:spacing w:val="-4"/>
          <w:sz w:val="24"/>
          <w:szCs w:val="24"/>
          <w:lang w:val="it-IT"/>
        </w:rPr>
        <w:tab/>
      </w:r>
      <w:r w:rsidR="0075671D">
        <w:rPr>
          <w:rFonts w:ascii="Times New Roman" w:hAnsi="Times New Roman" w:cs="Times New Roman"/>
          <w:i/>
          <w:iCs/>
          <w:spacing w:val="-4"/>
          <w:sz w:val="24"/>
          <w:szCs w:val="24"/>
          <w:lang w:val="it-IT"/>
        </w:rPr>
        <w:t xml:space="preserve">      </w:t>
      </w:r>
      <w:r w:rsidR="00A11F67" w:rsidRPr="00645FAD">
        <w:rPr>
          <w:rFonts w:ascii="Times New Roman" w:hAnsi="Times New Roman" w:cs="Times New Roman"/>
          <w:sz w:val="24"/>
          <w:szCs w:val="24"/>
        </w:rPr>
        <w:t>Primar</w:t>
      </w:r>
    </w:p>
    <w:p w:rsidR="00A11F67" w:rsidRPr="00645FAD" w:rsidRDefault="00A11F67" w:rsidP="00A11F67">
      <w:pPr>
        <w:rPr>
          <w:rFonts w:ascii="Times New Roman" w:hAnsi="Times New Roman" w:cs="Times New Roman"/>
          <w:sz w:val="24"/>
          <w:szCs w:val="24"/>
        </w:rPr>
      </w:pPr>
      <w:r w:rsidRPr="00645FAD">
        <w:rPr>
          <w:rFonts w:ascii="Times New Roman" w:hAnsi="Times New Roman" w:cs="Times New Roman"/>
          <w:sz w:val="24"/>
          <w:szCs w:val="24"/>
        </w:rPr>
        <w:t xml:space="preserve">                           </w:t>
      </w:r>
      <w:r w:rsidR="00645FAD">
        <w:rPr>
          <w:rFonts w:ascii="Times New Roman" w:hAnsi="Times New Roman" w:cs="Times New Roman"/>
          <w:sz w:val="24"/>
          <w:szCs w:val="24"/>
        </w:rPr>
        <w:t xml:space="preserve">   </w:t>
      </w:r>
      <w:r w:rsidR="0075671D">
        <w:rPr>
          <w:rFonts w:ascii="Times New Roman" w:hAnsi="Times New Roman" w:cs="Times New Roman"/>
          <w:sz w:val="24"/>
          <w:szCs w:val="24"/>
        </w:rPr>
        <w:t>Jón Sigfússon</w:t>
      </w:r>
      <w:r w:rsidR="0075671D">
        <w:rPr>
          <w:rFonts w:ascii="Times New Roman" w:hAnsi="Times New Roman" w:cs="Times New Roman"/>
          <w:sz w:val="24"/>
          <w:szCs w:val="24"/>
        </w:rPr>
        <w:tab/>
      </w:r>
      <w:r w:rsidR="0075671D">
        <w:rPr>
          <w:rFonts w:ascii="Times New Roman" w:hAnsi="Times New Roman" w:cs="Times New Roman"/>
          <w:sz w:val="24"/>
          <w:szCs w:val="24"/>
        </w:rPr>
        <w:tab/>
      </w:r>
      <w:r w:rsidR="0075671D">
        <w:rPr>
          <w:rFonts w:ascii="Times New Roman" w:hAnsi="Times New Roman" w:cs="Times New Roman"/>
          <w:sz w:val="24"/>
          <w:szCs w:val="24"/>
        </w:rPr>
        <w:tab/>
      </w:r>
      <w:r w:rsidR="0075671D">
        <w:rPr>
          <w:rFonts w:ascii="Times New Roman" w:hAnsi="Times New Roman" w:cs="Times New Roman"/>
          <w:sz w:val="24"/>
          <w:szCs w:val="24"/>
        </w:rPr>
        <w:tab/>
      </w:r>
      <w:r w:rsidR="0075671D">
        <w:rPr>
          <w:rFonts w:ascii="Times New Roman" w:hAnsi="Times New Roman" w:cs="Times New Roman"/>
          <w:sz w:val="24"/>
          <w:szCs w:val="24"/>
        </w:rPr>
        <w:tab/>
      </w:r>
      <w:r w:rsidR="0075671D">
        <w:rPr>
          <w:rFonts w:ascii="Times New Roman" w:hAnsi="Times New Roman" w:cs="Times New Roman"/>
          <w:sz w:val="24"/>
          <w:szCs w:val="24"/>
        </w:rPr>
        <w:tab/>
        <w:t xml:space="preserve">   </w:t>
      </w:r>
      <w:r w:rsidRPr="00645FAD">
        <w:rPr>
          <w:rFonts w:ascii="Times New Roman" w:hAnsi="Times New Roman" w:cs="Times New Roman"/>
          <w:sz w:val="24"/>
          <w:szCs w:val="24"/>
        </w:rPr>
        <w:t>Nicolae Robu</w:t>
      </w:r>
    </w:p>
    <w:p w:rsidR="00A11F67" w:rsidRDefault="00A11F67" w:rsidP="00A11F67">
      <w:pPr>
        <w:rPr>
          <w:rFonts w:ascii="Times New Roman" w:hAnsi="Times New Roman" w:cs="Times New Roman"/>
          <w:sz w:val="24"/>
          <w:szCs w:val="24"/>
        </w:rPr>
      </w:pPr>
    </w:p>
    <w:p w:rsidR="00645FAD" w:rsidRDefault="00645FAD" w:rsidP="00A11F67">
      <w:pPr>
        <w:rPr>
          <w:rFonts w:ascii="Times New Roman" w:hAnsi="Times New Roman" w:cs="Times New Roman"/>
          <w:sz w:val="24"/>
          <w:szCs w:val="24"/>
        </w:rPr>
      </w:pPr>
    </w:p>
    <w:p w:rsidR="00645FAD" w:rsidRPr="00645FAD" w:rsidRDefault="00645FAD" w:rsidP="00A11F67">
      <w:pPr>
        <w:rPr>
          <w:rFonts w:ascii="Times New Roman" w:hAnsi="Times New Roman" w:cs="Times New Roman"/>
          <w:sz w:val="24"/>
          <w:szCs w:val="24"/>
        </w:rPr>
      </w:pPr>
    </w:p>
    <w:p w:rsidR="00A11F67" w:rsidRPr="00645FAD" w:rsidRDefault="00A11F67" w:rsidP="00A11F67">
      <w:pPr>
        <w:rPr>
          <w:rFonts w:ascii="Times New Roman" w:hAnsi="Times New Roman" w:cs="Times New Roman"/>
          <w:i/>
          <w:sz w:val="24"/>
          <w:szCs w:val="24"/>
        </w:rPr>
      </w:pPr>
      <w:r w:rsidRPr="00645FAD">
        <w:rPr>
          <w:rFonts w:ascii="Times New Roman" w:hAnsi="Times New Roman" w:cs="Times New Roman"/>
          <w:sz w:val="24"/>
          <w:szCs w:val="24"/>
        </w:rPr>
        <w:tab/>
      </w:r>
      <w:r w:rsidRPr="00645FAD">
        <w:rPr>
          <w:rFonts w:ascii="Times New Roman" w:hAnsi="Times New Roman" w:cs="Times New Roman"/>
          <w:sz w:val="24"/>
          <w:szCs w:val="24"/>
        </w:rPr>
        <w:tab/>
      </w:r>
      <w:r w:rsidR="00645FAD">
        <w:rPr>
          <w:rFonts w:ascii="Times New Roman" w:hAnsi="Times New Roman" w:cs="Times New Roman"/>
          <w:sz w:val="24"/>
          <w:szCs w:val="24"/>
        </w:rPr>
        <w:t xml:space="preserve">       </w:t>
      </w:r>
      <w:r w:rsidRPr="00645FAD">
        <w:rPr>
          <w:rFonts w:ascii="Times New Roman" w:hAnsi="Times New Roman" w:cs="Times New Roman"/>
          <w:i/>
          <w:sz w:val="24"/>
          <w:szCs w:val="24"/>
        </w:rPr>
        <w:t xml:space="preserve">Direcția de Asistență Socială Comunitară a Municipiului Timișoara </w:t>
      </w:r>
    </w:p>
    <w:p w:rsidR="00A11F67" w:rsidRPr="00645FAD" w:rsidRDefault="00A11F67" w:rsidP="00A11F67">
      <w:pPr>
        <w:rPr>
          <w:rFonts w:ascii="Times New Roman" w:hAnsi="Times New Roman" w:cs="Times New Roman"/>
          <w:sz w:val="24"/>
          <w:szCs w:val="24"/>
        </w:rPr>
      </w:pPr>
      <w:r w:rsidRPr="00645FAD">
        <w:rPr>
          <w:rFonts w:ascii="Times New Roman" w:hAnsi="Times New Roman" w:cs="Times New Roman"/>
          <w:sz w:val="24"/>
          <w:szCs w:val="24"/>
        </w:rPr>
        <w:tab/>
      </w:r>
      <w:r w:rsidRPr="00645FAD">
        <w:rPr>
          <w:rFonts w:ascii="Times New Roman" w:hAnsi="Times New Roman" w:cs="Times New Roman"/>
          <w:sz w:val="24"/>
          <w:szCs w:val="24"/>
        </w:rPr>
        <w:tab/>
      </w:r>
      <w:r w:rsidRPr="00645FAD">
        <w:rPr>
          <w:rFonts w:ascii="Times New Roman" w:hAnsi="Times New Roman" w:cs="Times New Roman"/>
          <w:sz w:val="24"/>
          <w:szCs w:val="24"/>
        </w:rPr>
        <w:tab/>
      </w:r>
      <w:r w:rsidRPr="00645FAD">
        <w:rPr>
          <w:rFonts w:ascii="Times New Roman" w:hAnsi="Times New Roman" w:cs="Times New Roman"/>
          <w:sz w:val="24"/>
          <w:szCs w:val="24"/>
        </w:rPr>
        <w:tab/>
      </w:r>
      <w:r w:rsidR="0075671D">
        <w:rPr>
          <w:rFonts w:ascii="Times New Roman" w:hAnsi="Times New Roman" w:cs="Times New Roman"/>
          <w:sz w:val="24"/>
          <w:szCs w:val="24"/>
        </w:rPr>
        <w:tab/>
        <w:t xml:space="preserve">                </w:t>
      </w:r>
      <w:r w:rsidRPr="00645FAD">
        <w:rPr>
          <w:rFonts w:ascii="Times New Roman" w:hAnsi="Times New Roman" w:cs="Times New Roman"/>
          <w:sz w:val="24"/>
          <w:szCs w:val="24"/>
        </w:rPr>
        <w:t xml:space="preserve">Director executiv </w:t>
      </w:r>
    </w:p>
    <w:p w:rsidR="00A11F67" w:rsidRPr="00645FAD" w:rsidRDefault="00A11F67" w:rsidP="00A11F67">
      <w:pPr>
        <w:rPr>
          <w:rFonts w:ascii="Times New Roman" w:hAnsi="Times New Roman" w:cs="Times New Roman"/>
          <w:sz w:val="24"/>
          <w:szCs w:val="24"/>
        </w:rPr>
      </w:pPr>
      <w:r w:rsidRPr="00645FAD">
        <w:rPr>
          <w:rFonts w:ascii="Times New Roman" w:hAnsi="Times New Roman" w:cs="Times New Roman"/>
          <w:sz w:val="24"/>
          <w:szCs w:val="24"/>
        </w:rPr>
        <w:t xml:space="preserve">                                                                        </w:t>
      </w:r>
      <w:r w:rsidR="0075671D">
        <w:rPr>
          <w:rFonts w:ascii="Times New Roman" w:hAnsi="Times New Roman" w:cs="Times New Roman"/>
          <w:sz w:val="24"/>
          <w:szCs w:val="24"/>
        </w:rPr>
        <w:t xml:space="preserve">     </w:t>
      </w:r>
      <w:r w:rsidRPr="00645FAD">
        <w:rPr>
          <w:rFonts w:ascii="Times New Roman" w:hAnsi="Times New Roman" w:cs="Times New Roman"/>
          <w:sz w:val="24"/>
          <w:szCs w:val="24"/>
        </w:rPr>
        <w:t>Maria Stoianov</w:t>
      </w:r>
    </w:p>
    <w:p w:rsidR="00A11F67" w:rsidRPr="00645FAD" w:rsidRDefault="00A11F67" w:rsidP="00267FF7">
      <w:pPr>
        <w:jc w:val="both"/>
        <w:rPr>
          <w:rFonts w:ascii="Times New Roman" w:hAnsi="Times New Roman" w:cs="Times New Roman"/>
          <w:spacing w:val="-4"/>
          <w:sz w:val="24"/>
          <w:szCs w:val="24"/>
          <w:lang w:val="en-US"/>
        </w:rPr>
      </w:pPr>
    </w:p>
    <w:p w:rsidR="00A11F67" w:rsidRPr="00645FAD" w:rsidRDefault="00A11F67" w:rsidP="00267FF7">
      <w:pPr>
        <w:jc w:val="both"/>
        <w:rPr>
          <w:rFonts w:ascii="Times New Roman" w:hAnsi="Times New Roman" w:cs="Times New Roman"/>
          <w:spacing w:val="-4"/>
          <w:sz w:val="24"/>
          <w:szCs w:val="24"/>
          <w:lang w:val="en-US"/>
        </w:rPr>
      </w:pPr>
    </w:p>
    <w:tbl>
      <w:tblPr>
        <w:tblW w:w="0" w:type="auto"/>
        <w:jc w:val="center"/>
        <w:tblCellMar>
          <w:left w:w="70" w:type="dxa"/>
          <w:right w:w="70" w:type="dxa"/>
        </w:tblCellMar>
        <w:tblLook w:val="0000"/>
      </w:tblPr>
      <w:tblGrid>
        <w:gridCol w:w="5049"/>
      </w:tblGrid>
      <w:tr w:rsidR="0071573E" w:rsidRPr="00645FAD" w:rsidTr="00A03A62">
        <w:trPr>
          <w:trHeight w:val="2268"/>
          <w:jc w:val="center"/>
        </w:trPr>
        <w:tc>
          <w:tcPr>
            <w:tcW w:w="5049" w:type="dxa"/>
          </w:tcPr>
          <w:p w:rsidR="0071573E" w:rsidRPr="00645FAD" w:rsidRDefault="0071573E" w:rsidP="0071573E">
            <w:pPr>
              <w:pStyle w:val="Header"/>
              <w:tabs>
                <w:tab w:val="clear" w:pos="4819"/>
                <w:tab w:val="clear" w:pos="9638"/>
              </w:tabs>
              <w:jc w:val="both"/>
              <w:rPr>
                <w:spacing w:val="-4"/>
                <w:lang w:val="it-IT"/>
              </w:rPr>
            </w:pPr>
          </w:p>
        </w:tc>
      </w:tr>
      <w:tr w:rsidR="0071573E" w:rsidRPr="00645FAD" w:rsidTr="00A03A62">
        <w:trPr>
          <w:trHeight w:val="2268"/>
          <w:jc w:val="center"/>
        </w:trPr>
        <w:tc>
          <w:tcPr>
            <w:tcW w:w="5049" w:type="dxa"/>
          </w:tcPr>
          <w:p w:rsidR="0071573E" w:rsidRPr="00645FAD" w:rsidRDefault="0071573E" w:rsidP="00A03A62">
            <w:pPr>
              <w:ind w:left="110"/>
              <w:jc w:val="both"/>
              <w:rPr>
                <w:rFonts w:ascii="Times New Roman" w:hAnsi="Times New Roman" w:cs="Times New Roman"/>
                <w:i/>
                <w:iCs/>
                <w:spacing w:val="-4"/>
                <w:sz w:val="24"/>
                <w:szCs w:val="24"/>
                <w:lang w:val="en-GB"/>
              </w:rPr>
            </w:pPr>
          </w:p>
        </w:tc>
      </w:tr>
    </w:tbl>
    <w:p w:rsidR="00637A15" w:rsidRPr="00645FAD" w:rsidRDefault="00637A15" w:rsidP="00637A15">
      <w:pPr>
        <w:pStyle w:val="BodyText"/>
        <w:spacing w:after="0"/>
        <w:jc w:val="both"/>
        <w:rPr>
          <w:rFonts w:cs="Times New Roman"/>
          <w:bCs/>
          <w:spacing w:val="-4"/>
          <w:lang w:val="ro-RO"/>
        </w:rPr>
      </w:pPr>
    </w:p>
    <w:sectPr w:rsidR="00637A15" w:rsidRPr="00645FAD" w:rsidSect="00645FAD">
      <w:footerReference w:type="default" r:id="rId8"/>
      <w:pgSz w:w="11906" w:h="16838"/>
      <w:pgMar w:top="1417" w:right="849" w:bottom="141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50EA" w:rsidRDefault="003C50EA" w:rsidP="0071573E">
      <w:pPr>
        <w:spacing w:after="0" w:line="240" w:lineRule="auto"/>
      </w:pPr>
      <w:r>
        <w:separator/>
      </w:r>
    </w:p>
  </w:endnote>
  <w:endnote w:type="continuationSeparator" w:id="1">
    <w:p w:rsidR="003C50EA" w:rsidRDefault="003C50EA" w:rsidP="007157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75063"/>
      <w:docPartObj>
        <w:docPartGallery w:val="Page Numbers (Bottom of Page)"/>
        <w:docPartUnique/>
      </w:docPartObj>
    </w:sdtPr>
    <w:sdtContent>
      <w:p w:rsidR="0071573E" w:rsidRDefault="00D6274D">
        <w:pPr>
          <w:pStyle w:val="Footer"/>
          <w:jc w:val="center"/>
        </w:pPr>
        <w:fldSimple w:instr=" PAGE   \* MERGEFORMAT ">
          <w:r w:rsidR="008244C1">
            <w:rPr>
              <w:noProof/>
            </w:rPr>
            <w:t>5</w:t>
          </w:r>
        </w:fldSimple>
      </w:p>
    </w:sdtContent>
  </w:sdt>
  <w:p w:rsidR="0071573E" w:rsidRDefault="007157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50EA" w:rsidRDefault="003C50EA" w:rsidP="0071573E">
      <w:pPr>
        <w:spacing w:after="0" w:line="240" w:lineRule="auto"/>
      </w:pPr>
      <w:r>
        <w:separator/>
      </w:r>
    </w:p>
  </w:footnote>
  <w:footnote w:type="continuationSeparator" w:id="1">
    <w:p w:rsidR="003C50EA" w:rsidRDefault="003C50EA" w:rsidP="007157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rPr>
        <w:rFonts w:ascii="Times New Roman" w:hAnsi="Times New Roman" w:cs="Times New Roman"/>
      </w:rPr>
    </w:lvl>
    <w:lvl w:ilvl="1">
      <w:start w:val="1"/>
      <w:numFmt w:val="none"/>
      <w:pStyle w:val="Heading2"/>
      <w:lvlText w:val=""/>
      <w:lvlJc w:val="left"/>
      <w:pPr>
        <w:tabs>
          <w:tab w:val="num" w:pos="576"/>
        </w:tabs>
        <w:ind w:left="576" w:hanging="576"/>
      </w:pPr>
      <w:rPr>
        <w:rFonts w:ascii="Times New Roman" w:hAnsi="Times New Roman" w:cs="Times New Roman"/>
      </w:rPr>
    </w:lvl>
    <w:lvl w:ilvl="2">
      <w:start w:val="1"/>
      <w:numFmt w:val="none"/>
      <w:lvlText w:val=""/>
      <w:lvlJc w:val="left"/>
      <w:pPr>
        <w:tabs>
          <w:tab w:val="num" w:pos="720"/>
        </w:tabs>
        <w:ind w:left="720" w:hanging="720"/>
      </w:pPr>
      <w:rPr>
        <w:rFonts w:ascii="Times New Roman" w:hAnsi="Times New Roman" w:cs="Times New Roman"/>
      </w:rPr>
    </w:lvl>
    <w:lvl w:ilvl="3">
      <w:start w:val="1"/>
      <w:numFmt w:val="none"/>
      <w:lvlText w:val=""/>
      <w:lvlJc w:val="left"/>
      <w:pPr>
        <w:tabs>
          <w:tab w:val="num" w:pos="864"/>
        </w:tabs>
        <w:ind w:left="864" w:hanging="864"/>
      </w:pPr>
      <w:rPr>
        <w:rFonts w:ascii="Times New Roman" w:hAnsi="Times New Roman" w:cs="Times New Roman"/>
      </w:rPr>
    </w:lvl>
    <w:lvl w:ilvl="4">
      <w:start w:val="1"/>
      <w:numFmt w:val="none"/>
      <w:lvlText w:val=""/>
      <w:lvlJc w:val="left"/>
      <w:pPr>
        <w:tabs>
          <w:tab w:val="num" w:pos="1008"/>
        </w:tabs>
        <w:ind w:left="1008" w:hanging="1008"/>
      </w:pPr>
      <w:rPr>
        <w:rFonts w:ascii="Times New Roman" w:hAnsi="Times New Roman" w:cs="Times New Roman"/>
      </w:rPr>
    </w:lvl>
    <w:lvl w:ilvl="5">
      <w:start w:val="1"/>
      <w:numFmt w:val="none"/>
      <w:lvlText w:val=""/>
      <w:lvlJc w:val="left"/>
      <w:pPr>
        <w:tabs>
          <w:tab w:val="num" w:pos="1152"/>
        </w:tabs>
        <w:ind w:left="1152" w:hanging="1152"/>
      </w:pPr>
      <w:rPr>
        <w:rFonts w:ascii="Times New Roman" w:hAnsi="Times New Roman" w:cs="Times New Roman"/>
      </w:rPr>
    </w:lvl>
    <w:lvl w:ilvl="6">
      <w:start w:val="1"/>
      <w:numFmt w:val="none"/>
      <w:lvlText w:val=""/>
      <w:lvlJc w:val="left"/>
      <w:pPr>
        <w:tabs>
          <w:tab w:val="num" w:pos="1296"/>
        </w:tabs>
        <w:ind w:left="1296" w:hanging="1296"/>
      </w:pPr>
      <w:rPr>
        <w:rFonts w:ascii="Times New Roman" w:hAnsi="Times New Roman" w:cs="Times New Roman"/>
      </w:rPr>
    </w:lvl>
    <w:lvl w:ilvl="7">
      <w:start w:val="1"/>
      <w:numFmt w:val="none"/>
      <w:lvlText w:val=""/>
      <w:lvlJc w:val="left"/>
      <w:pPr>
        <w:tabs>
          <w:tab w:val="num" w:pos="1440"/>
        </w:tabs>
        <w:ind w:left="1440" w:hanging="1440"/>
      </w:pPr>
      <w:rPr>
        <w:rFonts w:ascii="Times New Roman" w:hAnsi="Times New Roman" w:cs="Times New Roman"/>
      </w:rPr>
    </w:lvl>
    <w:lvl w:ilvl="8">
      <w:start w:val="1"/>
      <w:numFmt w:val="none"/>
      <w:lvlText w:val=""/>
      <w:lvlJc w:val="left"/>
      <w:pPr>
        <w:tabs>
          <w:tab w:val="num" w:pos="1584"/>
        </w:tabs>
        <w:ind w:left="1584" w:hanging="1584"/>
      </w:pPr>
      <w:rPr>
        <w:rFonts w:ascii="Times New Roman" w:hAnsi="Times New Roman" w:cs="Times New Roman"/>
      </w:rPr>
    </w:lvl>
  </w:abstractNum>
  <w:abstractNum w:abstractNumId="1">
    <w:nsid w:val="12E6244B"/>
    <w:multiLevelType w:val="hybridMultilevel"/>
    <w:tmpl w:val="28FEDB72"/>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14E54DEC"/>
    <w:multiLevelType w:val="hybridMultilevel"/>
    <w:tmpl w:val="4CDE6D90"/>
    <w:lvl w:ilvl="0" w:tplc="04100005">
      <w:start w:val="1"/>
      <w:numFmt w:val="bullet"/>
      <w:lvlText w:val=""/>
      <w:lvlJc w:val="left"/>
      <w:pPr>
        <w:ind w:left="720" w:hanging="360"/>
      </w:pPr>
      <w:rPr>
        <w:rFonts w:ascii="Wingdings" w:hAnsi="Wingdings"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Times New Roman" w:hint="default"/>
      </w:rPr>
    </w:lvl>
    <w:lvl w:ilvl="3" w:tplc="04100001">
      <w:start w:val="1"/>
      <w:numFmt w:val="bullet"/>
      <w:lvlText w:val=""/>
      <w:lvlJc w:val="left"/>
      <w:pPr>
        <w:ind w:left="2880" w:hanging="360"/>
      </w:pPr>
      <w:rPr>
        <w:rFonts w:ascii="Symbol" w:hAnsi="Symbol" w:cs="Times New Roman"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Times New Roman" w:hint="default"/>
      </w:rPr>
    </w:lvl>
    <w:lvl w:ilvl="6" w:tplc="04100001">
      <w:start w:val="1"/>
      <w:numFmt w:val="bullet"/>
      <w:lvlText w:val=""/>
      <w:lvlJc w:val="left"/>
      <w:pPr>
        <w:ind w:left="5040" w:hanging="360"/>
      </w:pPr>
      <w:rPr>
        <w:rFonts w:ascii="Symbol" w:hAnsi="Symbol" w:cs="Times New Roman"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Times New Roman" w:hint="default"/>
      </w:rPr>
    </w:lvl>
  </w:abstractNum>
  <w:abstractNum w:abstractNumId="3">
    <w:nsid w:val="22723649"/>
    <w:multiLevelType w:val="hybridMultilevel"/>
    <w:tmpl w:val="DC7869FE"/>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2A5D7E06"/>
    <w:multiLevelType w:val="hybridMultilevel"/>
    <w:tmpl w:val="F5CC4A1A"/>
    <w:lvl w:ilvl="0" w:tplc="5B6A6382">
      <w:start w:val="1"/>
      <w:numFmt w:val="decimal"/>
      <w:lvlText w:val="%1."/>
      <w:lvlJc w:val="left"/>
      <w:pPr>
        <w:tabs>
          <w:tab w:val="num" w:pos="567"/>
        </w:tabs>
        <w:ind w:left="567" w:hanging="567"/>
      </w:pPr>
      <w:rPr>
        <w:rFonts w:ascii="Times New Roman" w:hAnsi="Times New Roman" w:cs="Times New Roman" w:hint="default"/>
      </w:rPr>
    </w:lvl>
    <w:lvl w:ilvl="1" w:tplc="04100019" w:tentative="1">
      <w:start w:val="1"/>
      <w:numFmt w:val="lowerLetter"/>
      <w:lvlText w:val="%2."/>
      <w:lvlJc w:val="left"/>
      <w:pPr>
        <w:tabs>
          <w:tab w:val="num" w:pos="1620"/>
        </w:tabs>
        <w:ind w:left="1620" w:hanging="360"/>
      </w:pPr>
    </w:lvl>
    <w:lvl w:ilvl="2" w:tplc="0410001B" w:tentative="1">
      <w:start w:val="1"/>
      <w:numFmt w:val="lowerRoman"/>
      <w:lvlText w:val="%3."/>
      <w:lvlJc w:val="right"/>
      <w:pPr>
        <w:tabs>
          <w:tab w:val="num" w:pos="2340"/>
        </w:tabs>
        <w:ind w:left="2340" w:hanging="180"/>
      </w:p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5">
    <w:nsid w:val="32731130"/>
    <w:multiLevelType w:val="hybridMultilevel"/>
    <w:tmpl w:val="27AC722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436B2912"/>
    <w:multiLevelType w:val="hybridMultilevel"/>
    <w:tmpl w:val="844C011A"/>
    <w:lvl w:ilvl="0" w:tplc="BB32FC1E">
      <w:start w:val="1"/>
      <w:numFmt w:val="lowerLetter"/>
      <w:lvlText w:val="%1."/>
      <w:lvlJc w:val="left"/>
      <w:pPr>
        <w:ind w:left="1080" w:hanging="360"/>
      </w:pPr>
      <w:rPr>
        <w:rFonts w:ascii="Times New Roman" w:eastAsia="Times New Roman" w:hAnsi="Times New Roman" w:cs="Times New Roman"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7">
    <w:nsid w:val="56176B9C"/>
    <w:multiLevelType w:val="hybridMultilevel"/>
    <w:tmpl w:val="D2DE1C7E"/>
    <w:lvl w:ilvl="0" w:tplc="762CD616">
      <w:start w:val="1"/>
      <w:numFmt w:val="lowerLetter"/>
      <w:lvlText w:val="%1."/>
      <w:lvlJc w:val="left"/>
      <w:pPr>
        <w:ind w:left="360" w:hanging="360"/>
      </w:pPr>
      <w:rPr>
        <w:rFonts w:ascii="Times New Roman" w:eastAsia="Times New Roman" w:hAnsi="Times New Roman" w:cs="Times New Roman" w:hint="default"/>
      </w:rPr>
    </w:lvl>
    <w:lvl w:ilvl="1" w:tplc="BB32FC1E">
      <w:start w:val="1"/>
      <w:numFmt w:val="lowerLetter"/>
      <w:lvlText w:val="%2."/>
      <w:lvlJc w:val="left"/>
      <w:pPr>
        <w:ind w:left="1080" w:hanging="360"/>
      </w:pPr>
      <w:rPr>
        <w:rFonts w:ascii="Times New Roman" w:eastAsia="Times New Roman" w:hAnsi="Times New Roman" w:cs="Times New Roman" w:hint="default"/>
      </w:rPr>
    </w:lvl>
    <w:lvl w:ilvl="2" w:tplc="0410001B">
      <w:start w:val="1"/>
      <w:numFmt w:val="lowerRoman"/>
      <w:lvlText w:val="%3."/>
      <w:lvlJc w:val="right"/>
      <w:pPr>
        <w:ind w:left="1800" w:hanging="180"/>
      </w:pPr>
      <w:rPr>
        <w:rFonts w:ascii="Times New Roman" w:hAnsi="Times New Roman" w:cs="Times New Roman"/>
      </w:rPr>
    </w:lvl>
    <w:lvl w:ilvl="3" w:tplc="0410000F">
      <w:start w:val="1"/>
      <w:numFmt w:val="decimal"/>
      <w:lvlText w:val="%4."/>
      <w:lvlJc w:val="left"/>
      <w:pPr>
        <w:ind w:left="2520" w:hanging="360"/>
      </w:pPr>
      <w:rPr>
        <w:rFonts w:ascii="Times New Roman" w:hAnsi="Times New Roman" w:cs="Times New Roman"/>
      </w:rPr>
    </w:lvl>
    <w:lvl w:ilvl="4" w:tplc="04100019">
      <w:start w:val="1"/>
      <w:numFmt w:val="lowerLetter"/>
      <w:lvlText w:val="%5."/>
      <w:lvlJc w:val="left"/>
      <w:pPr>
        <w:ind w:left="3240" w:hanging="360"/>
      </w:pPr>
      <w:rPr>
        <w:rFonts w:ascii="Times New Roman" w:hAnsi="Times New Roman" w:cs="Times New Roman"/>
      </w:rPr>
    </w:lvl>
    <w:lvl w:ilvl="5" w:tplc="0410001B">
      <w:start w:val="1"/>
      <w:numFmt w:val="lowerRoman"/>
      <w:lvlText w:val="%6."/>
      <w:lvlJc w:val="right"/>
      <w:pPr>
        <w:ind w:left="3960" w:hanging="180"/>
      </w:pPr>
      <w:rPr>
        <w:rFonts w:ascii="Times New Roman" w:hAnsi="Times New Roman" w:cs="Times New Roman"/>
      </w:rPr>
    </w:lvl>
    <w:lvl w:ilvl="6" w:tplc="0410000F">
      <w:start w:val="1"/>
      <w:numFmt w:val="decimal"/>
      <w:lvlText w:val="%7."/>
      <w:lvlJc w:val="left"/>
      <w:pPr>
        <w:ind w:left="4680" w:hanging="360"/>
      </w:pPr>
      <w:rPr>
        <w:rFonts w:ascii="Times New Roman" w:hAnsi="Times New Roman" w:cs="Times New Roman"/>
      </w:rPr>
    </w:lvl>
    <w:lvl w:ilvl="7" w:tplc="04100019">
      <w:start w:val="1"/>
      <w:numFmt w:val="lowerLetter"/>
      <w:lvlText w:val="%8."/>
      <w:lvlJc w:val="left"/>
      <w:pPr>
        <w:ind w:left="5400" w:hanging="360"/>
      </w:pPr>
      <w:rPr>
        <w:rFonts w:ascii="Times New Roman" w:hAnsi="Times New Roman" w:cs="Times New Roman"/>
      </w:rPr>
    </w:lvl>
    <w:lvl w:ilvl="8" w:tplc="0410001B">
      <w:start w:val="1"/>
      <w:numFmt w:val="lowerRoman"/>
      <w:lvlText w:val="%9."/>
      <w:lvlJc w:val="right"/>
      <w:pPr>
        <w:ind w:left="6120" w:hanging="180"/>
      </w:pPr>
      <w:rPr>
        <w:rFonts w:ascii="Times New Roman" w:hAnsi="Times New Roman" w:cs="Times New Roman"/>
      </w:rPr>
    </w:lvl>
  </w:abstractNum>
  <w:abstractNum w:abstractNumId="8">
    <w:nsid w:val="613032E5"/>
    <w:multiLevelType w:val="hybridMultilevel"/>
    <w:tmpl w:val="1BD659B4"/>
    <w:lvl w:ilvl="0" w:tplc="762CD616">
      <w:start w:val="1"/>
      <w:numFmt w:val="lowerLetter"/>
      <w:lvlText w:val="%1."/>
      <w:lvlJc w:val="left"/>
      <w:pPr>
        <w:ind w:left="360" w:hanging="360"/>
      </w:pPr>
      <w:rPr>
        <w:rFonts w:ascii="Times New Roman" w:eastAsia="Times New Roman" w:hAnsi="Times New Roman" w:cs="Times New Roman" w:hint="default"/>
      </w:rPr>
    </w:lvl>
    <w:lvl w:ilvl="1" w:tplc="0410000F">
      <w:start w:val="1"/>
      <w:numFmt w:val="decimal"/>
      <w:lvlText w:val="%2."/>
      <w:lvlJc w:val="left"/>
      <w:pPr>
        <w:ind w:left="1080" w:hanging="360"/>
      </w:pPr>
      <w:rPr>
        <w:rFonts w:ascii="Times New Roman" w:hAnsi="Times New Roman" w:cs="Times New Roman"/>
      </w:rPr>
    </w:lvl>
    <w:lvl w:ilvl="2" w:tplc="0410001B">
      <w:start w:val="1"/>
      <w:numFmt w:val="lowerRoman"/>
      <w:lvlText w:val="%3."/>
      <w:lvlJc w:val="right"/>
      <w:pPr>
        <w:ind w:left="1800" w:hanging="180"/>
      </w:pPr>
      <w:rPr>
        <w:rFonts w:ascii="Times New Roman" w:hAnsi="Times New Roman" w:cs="Times New Roman"/>
      </w:rPr>
    </w:lvl>
    <w:lvl w:ilvl="3" w:tplc="0410000F">
      <w:start w:val="1"/>
      <w:numFmt w:val="decimal"/>
      <w:lvlText w:val="%4."/>
      <w:lvlJc w:val="left"/>
      <w:pPr>
        <w:ind w:left="2520" w:hanging="360"/>
      </w:pPr>
      <w:rPr>
        <w:rFonts w:ascii="Times New Roman" w:hAnsi="Times New Roman" w:cs="Times New Roman"/>
      </w:rPr>
    </w:lvl>
    <w:lvl w:ilvl="4" w:tplc="04100019">
      <w:start w:val="1"/>
      <w:numFmt w:val="lowerLetter"/>
      <w:lvlText w:val="%5."/>
      <w:lvlJc w:val="left"/>
      <w:pPr>
        <w:ind w:left="3240" w:hanging="360"/>
      </w:pPr>
      <w:rPr>
        <w:rFonts w:ascii="Times New Roman" w:hAnsi="Times New Roman" w:cs="Times New Roman"/>
      </w:rPr>
    </w:lvl>
    <w:lvl w:ilvl="5" w:tplc="0410001B">
      <w:start w:val="1"/>
      <w:numFmt w:val="lowerRoman"/>
      <w:lvlText w:val="%6."/>
      <w:lvlJc w:val="right"/>
      <w:pPr>
        <w:ind w:left="3960" w:hanging="180"/>
      </w:pPr>
      <w:rPr>
        <w:rFonts w:ascii="Times New Roman" w:hAnsi="Times New Roman" w:cs="Times New Roman"/>
      </w:rPr>
    </w:lvl>
    <w:lvl w:ilvl="6" w:tplc="0410000F">
      <w:start w:val="1"/>
      <w:numFmt w:val="decimal"/>
      <w:lvlText w:val="%7."/>
      <w:lvlJc w:val="left"/>
      <w:pPr>
        <w:ind w:left="4680" w:hanging="360"/>
      </w:pPr>
      <w:rPr>
        <w:rFonts w:ascii="Times New Roman" w:hAnsi="Times New Roman" w:cs="Times New Roman"/>
      </w:rPr>
    </w:lvl>
    <w:lvl w:ilvl="7" w:tplc="04100019">
      <w:start w:val="1"/>
      <w:numFmt w:val="lowerLetter"/>
      <w:lvlText w:val="%8."/>
      <w:lvlJc w:val="left"/>
      <w:pPr>
        <w:ind w:left="5400" w:hanging="360"/>
      </w:pPr>
      <w:rPr>
        <w:rFonts w:ascii="Times New Roman" w:hAnsi="Times New Roman" w:cs="Times New Roman"/>
      </w:rPr>
    </w:lvl>
    <w:lvl w:ilvl="8" w:tplc="0410001B">
      <w:start w:val="1"/>
      <w:numFmt w:val="lowerRoman"/>
      <w:lvlText w:val="%9."/>
      <w:lvlJc w:val="right"/>
      <w:pPr>
        <w:ind w:left="6120" w:hanging="180"/>
      </w:pPr>
      <w:rPr>
        <w:rFonts w:ascii="Times New Roman" w:hAnsi="Times New Roman" w:cs="Times New Roman"/>
      </w:rPr>
    </w:lvl>
  </w:abstractNum>
  <w:num w:numId="1">
    <w:abstractNumId w:val="0"/>
  </w:num>
  <w:num w:numId="2">
    <w:abstractNumId w:val="2"/>
  </w:num>
  <w:num w:numId="3">
    <w:abstractNumId w:val="1"/>
  </w:num>
  <w:num w:numId="4">
    <w:abstractNumId w:val="5"/>
  </w:num>
  <w:num w:numId="5">
    <w:abstractNumId w:val="8"/>
  </w:num>
  <w:num w:numId="6">
    <w:abstractNumId w:val="7"/>
  </w:num>
  <w:num w:numId="7">
    <w:abstractNumId w:val="6"/>
  </w:num>
  <w:num w:numId="8">
    <w:abstractNumId w:val="3"/>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hyphenationZone w:val="425"/>
  <w:characterSpacingControl w:val="doNotCompress"/>
  <w:footnotePr>
    <w:footnote w:id="0"/>
    <w:footnote w:id="1"/>
  </w:footnotePr>
  <w:endnotePr>
    <w:endnote w:id="0"/>
    <w:endnote w:id="1"/>
  </w:endnotePr>
  <w:compat>
    <w:useFELayout/>
  </w:compat>
  <w:rsids>
    <w:rsidRoot w:val="00D0054D"/>
    <w:rsid w:val="000738F6"/>
    <w:rsid w:val="000C5CF1"/>
    <w:rsid w:val="002262EB"/>
    <w:rsid w:val="00253999"/>
    <w:rsid w:val="00266D8F"/>
    <w:rsid w:val="00267FF7"/>
    <w:rsid w:val="002C0C9E"/>
    <w:rsid w:val="002F7CA0"/>
    <w:rsid w:val="00302C8C"/>
    <w:rsid w:val="003C50EA"/>
    <w:rsid w:val="004664EE"/>
    <w:rsid w:val="005819EF"/>
    <w:rsid w:val="00637A15"/>
    <w:rsid w:val="00645FAD"/>
    <w:rsid w:val="0069132A"/>
    <w:rsid w:val="006B54BD"/>
    <w:rsid w:val="0071573E"/>
    <w:rsid w:val="0075671D"/>
    <w:rsid w:val="00811542"/>
    <w:rsid w:val="008244C1"/>
    <w:rsid w:val="0083394C"/>
    <w:rsid w:val="00855E29"/>
    <w:rsid w:val="008D1636"/>
    <w:rsid w:val="008D3A81"/>
    <w:rsid w:val="009D5885"/>
    <w:rsid w:val="00A01FBB"/>
    <w:rsid w:val="00A11F67"/>
    <w:rsid w:val="00AF387A"/>
    <w:rsid w:val="00B455EE"/>
    <w:rsid w:val="00C1725B"/>
    <w:rsid w:val="00C4766F"/>
    <w:rsid w:val="00D0054D"/>
    <w:rsid w:val="00D037EA"/>
    <w:rsid w:val="00D6274D"/>
    <w:rsid w:val="00D9507A"/>
    <w:rsid w:val="00DE5A90"/>
    <w:rsid w:val="00EA0E4D"/>
    <w:rsid w:val="00F06040"/>
    <w:rsid w:val="00FA0A18"/>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66F"/>
  </w:style>
  <w:style w:type="paragraph" w:styleId="Heading2">
    <w:name w:val="heading 2"/>
    <w:basedOn w:val="Normal"/>
    <w:next w:val="Normal"/>
    <w:link w:val="Heading2Char"/>
    <w:qFormat/>
    <w:rsid w:val="00EA0E4D"/>
    <w:pPr>
      <w:keepNext/>
      <w:numPr>
        <w:ilvl w:val="1"/>
        <w:numId w:val="1"/>
      </w:numPr>
      <w:suppressAutoHyphens/>
      <w:spacing w:after="0" w:line="240" w:lineRule="auto"/>
      <w:outlineLvl w:val="1"/>
    </w:pPr>
    <w:rPr>
      <w:rFonts w:ascii="Arial" w:eastAsia="Times New Roman" w:hAnsi="Arial" w:cs="Arial"/>
      <w:b/>
      <w:sz w:val="18"/>
      <w:szCs w:val="18"/>
      <w:lang w:val="it-I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A0E4D"/>
    <w:rPr>
      <w:rFonts w:ascii="Arial" w:eastAsia="Times New Roman" w:hAnsi="Arial" w:cs="Arial"/>
      <w:b/>
      <w:sz w:val="18"/>
      <w:szCs w:val="18"/>
      <w:lang w:val="it-IT" w:eastAsia="ar-SA"/>
    </w:rPr>
  </w:style>
  <w:style w:type="paragraph" w:styleId="ListParagraph">
    <w:name w:val="List Paragraph"/>
    <w:basedOn w:val="Normal"/>
    <w:qFormat/>
    <w:rsid w:val="006B54BD"/>
    <w:pPr>
      <w:suppressAutoHyphens/>
      <w:spacing w:after="0" w:line="240" w:lineRule="auto"/>
      <w:ind w:left="708"/>
    </w:pPr>
    <w:rPr>
      <w:rFonts w:ascii="Times New Roman" w:eastAsia="Times New Roman" w:hAnsi="Times New Roman" w:cs="Times New Roman"/>
      <w:sz w:val="24"/>
      <w:szCs w:val="24"/>
      <w:lang w:val="it-IT" w:eastAsia="ar-SA"/>
    </w:rPr>
  </w:style>
  <w:style w:type="paragraph" w:customStyle="1" w:styleId="Corpodeltesto31">
    <w:name w:val="Corpo del testo 31"/>
    <w:basedOn w:val="Normal"/>
    <w:rsid w:val="008D1636"/>
    <w:pPr>
      <w:suppressAutoHyphens/>
      <w:spacing w:after="0" w:line="240" w:lineRule="auto"/>
      <w:jc w:val="both"/>
    </w:pPr>
    <w:rPr>
      <w:rFonts w:ascii="Arial" w:eastAsia="Times New Roman" w:hAnsi="Arial" w:cs="Arial"/>
      <w:sz w:val="20"/>
      <w:szCs w:val="24"/>
      <w:lang w:val="pt-BR" w:eastAsia="ar-SA"/>
    </w:rPr>
  </w:style>
  <w:style w:type="paragraph" w:styleId="BodyText">
    <w:name w:val="Body Text"/>
    <w:basedOn w:val="Normal"/>
    <w:link w:val="BodyTextChar"/>
    <w:semiHidden/>
    <w:rsid w:val="008D1636"/>
    <w:pPr>
      <w:widowControl w:val="0"/>
      <w:suppressAutoHyphens/>
      <w:spacing w:after="120" w:line="240" w:lineRule="auto"/>
    </w:pPr>
    <w:rPr>
      <w:rFonts w:ascii="Times New Roman" w:eastAsia="Times New Roman" w:hAnsi="Times New Roman" w:cs="Tahoma"/>
      <w:kern w:val="1"/>
      <w:sz w:val="24"/>
      <w:szCs w:val="24"/>
      <w:lang w:val="fr-FR" w:eastAsia="ar-SA"/>
    </w:rPr>
  </w:style>
  <w:style w:type="character" w:customStyle="1" w:styleId="BodyTextChar">
    <w:name w:val="Body Text Char"/>
    <w:basedOn w:val="DefaultParagraphFont"/>
    <w:link w:val="BodyText"/>
    <w:semiHidden/>
    <w:rsid w:val="008D1636"/>
    <w:rPr>
      <w:rFonts w:ascii="Times New Roman" w:eastAsia="Times New Roman" w:hAnsi="Times New Roman" w:cs="Tahoma"/>
      <w:kern w:val="1"/>
      <w:sz w:val="24"/>
      <w:szCs w:val="24"/>
      <w:lang w:val="fr-FR" w:eastAsia="ar-SA"/>
    </w:rPr>
  </w:style>
  <w:style w:type="paragraph" w:styleId="BodyTextIndent">
    <w:name w:val="Body Text Indent"/>
    <w:basedOn w:val="Normal"/>
    <w:link w:val="BodyTextIndentChar"/>
    <w:uiPriority w:val="99"/>
    <w:semiHidden/>
    <w:unhideWhenUsed/>
    <w:rsid w:val="00811542"/>
    <w:pPr>
      <w:spacing w:after="120"/>
      <w:ind w:left="283"/>
    </w:pPr>
  </w:style>
  <w:style w:type="character" w:customStyle="1" w:styleId="BodyTextIndentChar">
    <w:name w:val="Body Text Indent Char"/>
    <w:basedOn w:val="DefaultParagraphFont"/>
    <w:link w:val="BodyTextIndent"/>
    <w:uiPriority w:val="99"/>
    <w:semiHidden/>
    <w:rsid w:val="00811542"/>
  </w:style>
  <w:style w:type="paragraph" w:styleId="BodyTextIndent2">
    <w:name w:val="Body Text Indent 2"/>
    <w:basedOn w:val="Normal"/>
    <w:link w:val="BodyTextIndent2Char"/>
    <w:uiPriority w:val="99"/>
    <w:unhideWhenUsed/>
    <w:rsid w:val="00811542"/>
    <w:pPr>
      <w:spacing w:after="120" w:line="480" w:lineRule="auto"/>
      <w:ind w:left="283"/>
    </w:pPr>
  </w:style>
  <w:style w:type="character" w:customStyle="1" w:styleId="BodyTextIndent2Char">
    <w:name w:val="Body Text Indent 2 Char"/>
    <w:basedOn w:val="DefaultParagraphFont"/>
    <w:link w:val="BodyTextIndent2"/>
    <w:uiPriority w:val="99"/>
    <w:rsid w:val="00811542"/>
  </w:style>
  <w:style w:type="paragraph" w:styleId="Header">
    <w:name w:val="header"/>
    <w:basedOn w:val="Normal"/>
    <w:link w:val="HeaderChar"/>
    <w:semiHidden/>
    <w:rsid w:val="00267FF7"/>
    <w:pPr>
      <w:tabs>
        <w:tab w:val="center" w:pos="4819"/>
        <w:tab w:val="right" w:pos="9638"/>
      </w:tabs>
      <w:spacing w:after="0" w:line="240" w:lineRule="auto"/>
    </w:pPr>
    <w:rPr>
      <w:rFonts w:ascii="Times New Roman" w:eastAsia="Times New Roman" w:hAnsi="Times New Roman" w:cs="Times New Roman"/>
      <w:sz w:val="24"/>
      <w:szCs w:val="24"/>
      <w:lang w:val="en-US" w:eastAsia="en-US"/>
    </w:rPr>
  </w:style>
  <w:style w:type="character" w:customStyle="1" w:styleId="HeaderChar">
    <w:name w:val="Header Char"/>
    <w:basedOn w:val="DefaultParagraphFont"/>
    <w:link w:val="Header"/>
    <w:semiHidden/>
    <w:rsid w:val="00267FF7"/>
    <w:rPr>
      <w:rFonts w:ascii="Times New Roman" w:eastAsia="Times New Roman" w:hAnsi="Times New Roman" w:cs="Times New Roman"/>
      <w:sz w:val="24"/>
      <w:szCs w:val="24"/>
      <w:lang w:val="en-US" w:eastAsia="en-US"/>
    </w:rPr>
  </w:style>
  <w:style w:type="paragraph" w:styleId="BalloonText">
    <w:name w:val="Balloon Text"/>
    <w:basedOn w:val="Normal"/>
    <w:link w:val="BalloonTextChar"/>
    <w:uiPriority w:val="99"/>
    <w:semiHidden/>
    <w:unhideWhenUsed/>
    <w:rsid w:val="00A11F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F67"/>
    <w:rPr>
      <w:rFonts w:ascii="Tahoma" w:hAnsi="Tahoma" w:cs="Tahoma"/>
      <w:sz w:val="16"/>
      <w:szCs w:val="16"/>
    </w:rPr>
  </w:style>
  <w:style w:type="paragraph" w:styleId="Footer">
    <w:name w:val="footer"/>
    <w:basedOn w:val="Normal"/>
    <w:link w:val="FooterChar"/>
    <w:uiPriority w:val="99"/>
    <w:unhideWhenUsed/>
    <w:rsid w:val="0071573E"/>
    <w:pPr>
      <w:tabs>
        <w:tab w:val="center" w:pos="4536"/>
        <w:tab w:val="right" w:pos="9072"/>
      </w:tabs>
      <w:spacing w:after="0" w:line="240" w:lineRule="auto"/>
    </w:pPr>
  </w:style>
  <w:style w:type="character" w:customStyle="1" w:styleId="FooterChar">
    <w:name w:val="Footer Char"/>
    <w:basedOn w:val="DefaultParagraphFont"/>
    <w:link w:val="Footer"/>
    <w:uiPriority w:val="99"/>
    <w:rsid w:val="0071573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1301</Words>
  <Characters>7547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Ciupa-Rad</dc:creator>
  <cp:lastModifiedBy>Muntiu-Marilena</cp:lastModifiedBy>
  <cp:revision>2</cp:revision>
  <cp:lastPrinted>2014-09-22T07:44:00Z</cp:lastPrinted>
  <dcterms:created xsi:type="dcterms:W3CDTF">2014-09-26T06:16:00Z</dcterms:created>
  <dcterms:modified xsi:type="dcterms:W3CDTF">2014-09-26T06:16:00Z</dcterms:modified>
</cp:coreProperties>
</file>