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411A31" w:rsidRDefault="00200D23" w:rsidP="00200D23">
      <w:pPr>
        <w:jc w:val="both"/>
        <w:rPr>
          <w:b/>
          <w:sz w:val="22"/>
          <w:szCs w:val="22"/>
        </w:rPr>
      </w:pPr>
      <w:r w:rsidRPr="00411A31">
        <w:rPr>
          <w:b/>
          <w:sz w:val="22"/>
          <w:szCs w:val="22"/>
        </w:rPr>
        <w:t>ROMÂNIA</w:t>
      </w:r>
    </w:p>
    <w:p w:rsidR="00200D23" w:rsidRPr="00411A31" w:rsidRDefault="00200D23" w:rsidP="00200D23">
      <w:pPr>
        <w:jc w:val="both"/>
        <w:rPr>
          <w:b/>
          <w:sz w:val="22"/>
          <w:szCs w:val="22"/>
        </w:rPr>
      </w:pPr>
      <w:r w:rsidRPr="00411A31">
        <w:rPr>
          <w:b/>
          <w:sz w:val="22"/>
          <w:szCs w:val="22"/>
        </w:rPr>
        <w:t>JUDETUL TIMIŞ</w:t>
      </w:r>
      <w:r w:rsidRPr="00411A31">
        <w:rPr>
          <w:b/>
          <w:sz w:val="22"/>
          <w:szCs w:val="22"/>
        </w:rPr>
        <w:tab/>
      </w:r>
      <w:r w:rsidRPr="00411A31">
        <w:rPr>
          <w:b/>
          <w:sz w:val="22"/>
          <w:szCs w:val="22"/>
        </w:rPr>
        <w:tab/>
      </w:r>
      <w:r w:rsidRPr="00411A31">
        <w:rPr>
          <w:b/>
          <w:sz w:val="22"/>
          <w:szCs w:val="22"/>
        </w:rPr>
        <w:tab/>
      </w:r>
      <w:r w:rsidRPr="00411A31">
        <w:rPr>
          <w:b/>
          <w:sz w:val="22"/>
          <w:szCs w:val="22"/>
        </w:rPr>
        <w:tab/>
      </w:r>
      <w:r w:rsidRPr="00411A31">
        <w:rPr>
          <w:b/>
          <w:sz w:val="22"/>
          <w:szCs w:val="22"/>
        </w:rPr>
        <w:tab/>
      </w:r>
      <w:r w:rsidRPr="00411A31">
        <w:rPr>
          <w:b/>
          <w:sz w:val="22"/>
          <w:szCs w:val="22"/>
        </w:rPr>
        <w:tab/>
      </w:r>
      <w:r w:rsidRPr="00411A31">
        <w:rPr>
          <w:b/>
          <w:sz w:val="22"/>
          <w:szCs w:val="22"/>
        </w:rPr>
        <w:tab/>
      </w:r>
    </w:p>
    <w:p w:rsidR="00200D23" w:rsidRPr="00411A31" w:rsidRDefault="00200D23" w:rsidP="00200D23">
      <w:pPr>
        <w:jc w:val="both"/>
        <w:rPr>
          <w:b/>
          <w:sz w:val="22"/>
          <w:szCs w:val="22"/>
        </w:rPr>
      </w:pPr>
      <w:r w:rsidRPr="00411A31">
        <w:rPr>
          <w:b/>
          <w:sz w:val="22"/>
          <w:szCs w:val="22"/>
        </w:rPr>
        <w:t>MUNICIPIUL TIMISOARA</w:t>
      </w:r>
    </w:p>
    <w:p w:rsidR="00200D23" w:rsidRPr="00411A31" w:rsidRDefault="00200D23" w:rsidP="00200D23">
      <w:pPr>
        <w:jc w:val="both"/>
        <w:rPr>
          <w:b/>
          <w:sz w:val="22"/>
          <w:szCs w:val="22"/>
        </w:rPr>
      </w:pPr>
      <w:r w:rsidRPr="00411A31">
        <w:rPr>
          <w:b/>
          <w:sz w:val="22"/>
          <w:szCs w:val="22"/>
        </w:rPr>
        <w:t>PRIMAR</w:t>
      </w:r>
    </w:p>
    <w:p w:rsidR="00302743" w:rsidRPr="00411A31" w:rsidRDefault="00302743" w:rsidP="00200D23">
      <w:pPr>
        <w:spacing w:after="180" w:line="206" w:lineRule="auto"/>
        <w:jc w:val="center"/>
        <w:rPr>
          <w:b/>
          <w:color w:val="000000"/>
          <w:sz w:val="22"/>
          <w:szCs w:val="22"/>
          <w:u w:val="single"/>
        </w:rPr>
      </w:pPr>
    </w:p>
    <w:p w:rsidR="00200D23" w:rsidRPr="00411A31" w:rsidRDefault="00200D23" w:rsidP="00200D23">
      <w:pPr>
        <w:spacing w:after="180" w:line="206" w:lineRule="auto"/>
        <w:jc w:val="center"/>
        <w:rPr>
          <w:b/>
          <w:color w:val="000000"/>
          <w:sz w:val="22"/>
          <w:szCs w:val="22"/>
          <w:u w:val="single"/>
        </w:rPr>
      </w:pPr>
      <w:r w:rsidRPr="00411A31">
        <w:rPr>
          <w:b/>
          <w:color w:val="000000"/>
          <w:sz w:val="22"/>
          <w:szCs w:val="22"/>
          <w:u w:val="single"/>
        </w:rPr>
        <w:t>R</w:t>
      </w:r>
      <w:r w:rsidR="001D7921" w:rsidRPr="00411A31">
        <w:rPr>
          <w:b/>
          <w:color w:val="000000"/>
          <w:sz w:val="22"/>
          <w:szCs w:val="22"/>
          <w:u w:val="single"/>
        </w:rPr>
        <w:t>eferat</w:t>
      </w:r>
      <w:r w:rsidRPr="00411A31">
        <w:rPr>
          <w:b/>
          <w:color w:val="000000"/>
          <w:sz w:val="22"/>
          <w:szCs w:val="22"/>
          <w:u w:val="single"/>
        </w:rPr>
        <w:t xml:space="preserve"> </w:t>
      </w:r>
      <w:r w:rsidR="001D7921" w:rsidRPr="00411A31">
        <w:rPr>
          <w:b/>
          <w:color w:val="000000"/>
          <w:sz w:val="22"/>
          <w:szCs w:val="22"/>
          <w:u w:val="single"/>
        </w:rPr>
        <w:t>de</w:t>
      </w:r>
      <w:r w:rsidRPr="00411A31">
        <w:rPr>
          <w:b/>
          <w:color w:val="000000"/>
          <w:sz w:val="22"/>
          <w:szCs w:val="22"/>
          <w:u w:val="single"/>
        </w:rPr>
        <w:t xml:space="preserve"> A</w:t>
      </w:r>
      <w:r w:rsidR="001D7921" w:rsidRPr="00411A31">
        <w:rPr>
          <w:b/>
          <w:color w:val="000000"/>
          <w:sz w:val="22"/>
          <w:szCs w:val="22"/>
          <w:u w:val="single"/>
        </w:rPr>
        <w:t>probare</w:t>
      </w:r>
      <w:r w:rsidRPr="00411A31">
        <w:rPr>
          <w:b/>
          <w:color w:val="000000"/>
          <w:sz w:val="22"/>
          <w:szCs w:val="22"/>
          <w:u w:val="single"/>
        </w:rPr>
        <w:t xml:space="preserve"> </w:t>
      </w:r>
      <w:r w:rsidR="001D7921" w:rsidRPr="00411A31">
        <w:rPr>
          <w:b/>
          <w:color w:val="000000"/>
          <w:sz w:val="22"/>
          <w:szCs w:val="22"/>
          <w:u w:val="single"/>
        </w:rPr>
        <w:t>a</w:t>
      </w:r>
      <w:r w:rsidRPr="00411A31">
        <w:rPr>
          <w:b/>
          <w:color w:val="000000"/>
          <w:sz w:val="22"/>
          <w:szCs w:val="22"/>
          <w:u w:val="single"/>
        </w:rPr>
        <w:t xml:space="preserve">  P</w:t>
      </w:r>
      <w:r w:rsidR="001D7921" w:rsidRPr="00411A31">
        <w:rPr>
          <w:b/>
          <w:color w:val="000000"/>
          <w:sz w:val="22"/>
          <w:szCs w:val="22"/>
          <w:u w:val="single"/>
        </w:rPr>
        <w:t>roiectului</w:t>
      </w:r>
      <w:r w:rsidRPr="00411A31">
        <w:rPr>
          <w:b/>
          <w:color w:val="000000"/>
          <w:sz w:val="22"/>
          <w:szCs w:val="22"/>
          <w:u w:val="single"/>
        </w:rPr>
        <w:t xml:space="preserve"> </w:t>
      </w:r>
      <w:r w:rsidR="001D7921" w:rsidRPr="00411A31">
        <w:rPr>
          <w:b/>
          <w:color w:val="000000"/>
          <w:sz w:val="22"/>
          <w:szCs w:val="22"/>
          <w:u w:val="single"/>
        </w:rPr>
        <w:t>de</w:t>
      </w:r>
      <w:r w:rsidRPr="00411A31">
        <w:rPr>
          <w:b/>
          <w:color w:val="000000"/>
          <w:sz w:val="22"/>
          <w:szCs w:val="22"/>
          <w:u w:val="single"/>
        </w:rPr>
        <w:t xml:space="preserve"> H</w:t>
      </w:r>
      <w:r w:rsidR="001D7921" w:rsidRPr="00411A31">
        <w:rPr>
          <w:b/>
          <w:color w:val="000000"/>
          <w:sz w:val="22"/>
          <w:szCs w:val="22"/>
          <w:u w:val="single"/>
        </w:rPr>
        <w:t>otărâre</w:t>
      </w:r>
    </w:p>
    <w:p w:rsidR="00200D23" w:rsidRPr="00411A31" w:rsidRDefault="00200D23" w:rsidP="00200D23">
      <w:pPr>
        <w:spacing w:before="324" w:after="324"/>
        <w:jc w:val="center"/>
        <w:rPr>
          <w:b/>
          <w:i/>
          <w:color w:val="000000"/>
          <w:spacing w:val="-16"/>
          <w:w w:val="105"/>
          <w:sz w:val="22"/>
          <w:szCs w:val="22"/>
        </w:rPr>
      </w:pPr>
      <w:r w:rsidRPr="00411A31">
        <w:rPr>
          <w:b/>
          <w:i/>
          <w:color w:val="000000"/>
          <w:spacing w:val="-16"/>
          <w:w w:val="105"/>
          <w:sz w:val="22"/>
          <w:szCs w:val="22"/>
        </w:rPr>
        <w:t xml:space="preserve">Sectiunea 1 </w:t>
      </w:r>
      <w:r w:rsidRPr="00411A31">
        <w:rPr>
          <w:b/>
          <w:i/>
          <w:color w:val="000000"/>
          <w:spacing w:val="-16"/>
          <w:w w:val="105"/>
          <w:sz w:val="22"/>
          <w:szCs w:val="22"/>
        </w:rPr>
        <w:br/>
      </w:r>
      <w:r w:rsidRPr="00411A31">
        <w:rPr>
          <w:b/>
          <w:i/>
          <w:color w:val="000000"/>
          <w:spacing w:val="-8"/>
          <w:w w:val="105"/>
          <w:sz w:val="22"/>
          <w:szCs w:val="22"/>
        </w:rPr>
        <w:t>Titlul proiectului de hotărâre</w:t>
      </w:r>
    </w:p>
    <w:p w:rsidR="00200D23" w:rsidRPr="00411A31" w:rsidRDefault="00200D23" w:rsidP="00200D23">
      <w:pPr>
        <w:jc w:val="center"/>
        <w:rPr>
          <w:b/>
          <w:color w:val="000000"/>
          <w:spacing w:val="-2"/>
          <w:sz w:val="22"/>
          <w:szCs w:val="22"/>
        </w:rPr>
      </w:pPr>
      <w:r w:rsidRPr="00411A31">
        <w:rPr>
          <w:b/>
          <w:color w:val="000000"/>
          <w:spacing w:val="-6"/>
          <w:sz w:val="22"/>
          <w:szCs w:val="22"/>
        </w:rPr>
        <w:t xml:space="preserve">Proiect de hotărâre </w:t>
      </w:r>
      <w:r w:rsidRPr="00411A31">
        <w:rPr>
          <w:b/>
          <w:color w:val="000000"/>
          <w:spacing w:val="-2"/>
          <w:sz w:val="22"/>
          <w:szCs w:val="22"/>
        </w:rPr>
        <w:t xml:space="preserve">privind </w:t>
      </w:r>
    </w:p>
    <w:p w:rsidR="00B039C6" w:rsidRPr="00411A31" w:rsidRDefault="00B039C6" w:rsidP="00B039C6">
      <w:pPr>
        <w:jc w:val="center"/>
        <w:rPr>
          <w:b/>
          <w:i/>
          <w:color w:val="000000" w:themeColor="text1"/>
          <w:spacing w:val="-20"/>
          <w:w w:val="105"/>
          <w:sz w:val="22"/>
          <w:szCs w:val="22"/>
          <w:lang w:val="ro-RO"/>
        </w:rPr>
      </w:pPr>
      <w:r w:rsidRPr="00411A31">
        <w:rPr>
          <w:b/>
          <w:bCs/>
          <w:i/>
          <w:sz w:val="22"/>
          <w:szCs w:val="22"/>
        </w:rPr>
        <w:t>privind aprobarea valorii totale a proiectului</w:t>
      </w:r>
      <w:r w:rsidRPr="00411A31">
        <w:rPr>
          <w:b/>
          <w:bCs/>
          <w:i/>
          <w:color w:val="000000"/>
          <w:sz w:val="22"/>
          <w:szCs w:val="22"/>
        </w:rPr>
        <w:t xml:space="preserve"> “Retehnologizarea sistemului centralizat de termoficare din Municipiul Timişoara în vederea conformării la normele de protecţia mediului privind emisiile poluante în aer şi pentru creşterea eficienţei in alimentarea cu căldură urbană - Etapa a II-a”  aprobată prin HCL nr. 490/19.10.2018, modificată prin HCL</w:t>
      </w:r>
      <w:r w:rsidR="00EC7B2E">
        <w:rPr>
          <w:b/>
          <w:bCs/>
          <w:i/>
          <w:color w:val="000000"/>
          <w:sz w:val="22"/>
          <w:szCs w:val="22"/>
        </w:rPr>
        <w:t xml:space="preserve"> nr. </w:t>
      </w:r>
      <w:r w:rsidRPr="00411A31">
        <w:rPr>
          <w:b/>
          <w:bCs/>
          <w:i/>
          <w:color w:val="000000"/>
          <w:sz w:val="22"/>
          <w:szCs w:val="22"/>
        </w:rPr>
        <w:t xml:space="preserve">277/14.06.2022,  aprobarea </w:t>
      </w:r>
      <w:r w:rsidRPr="00411A31">
        <w:rPr>
          <w:rStyle w:val="rezumat1"/>
          <w:rFonts w:eastAsia="Calibri"/>
          <w:b/>
          <w:i/>
          <w:color w:val="000000"/>
          <w:sz w:val="22"/>
          <w:szCs w:val="22"/>
        </w:rPr>
        <w:t xml:space="preserve">rezervei de implementare pentru reechilibrarea contractelor de execuție și proiectare lucrări aferente proiectului, precum și aprobarea revizuirii </w:t>
      </w:r>
      <w:r w:rsidRPr="00411A31">
        <w:rPr>
          <w:rFonts w:eastAsiaTheme="minorHAnsi"/>
          <w:b/>
          <w:i/>
          <w:color w:val="000000"/>
          <w:sz w:val="22"/>
          <w:szCs w:val="22"/>
          <w:lang w:val="ro-RO"/>
        </w:rPr>
        <w:t xml:space="preserve">Devizului General aferent proiectului </w:t>
      </w:r>
      <w:r w:rsidRPr="00411A31">
        <w:rPr>
          <w:b/>
          <w:bCs/>
          <w:i/>
          <w:sz w:val="22"/>
          <w:szCs w:val="22"/>
          <w:lang w:val="ro-RO"/>
        </w:rPr>
        <w:t xml:space="preserve">actualizat prin </w:t>
      </w:r>
      <w:r w:rsidRPr="00411A31">
        <w:rPr>
          <w:b/>
          <w:bCs/>
          <w:i/>
          <w:color w:val="000000" w:themeColor="text1"/>
          <w:sz w:val="22"/>
          <w:szCs w:val="22"/>
          <w:lang w:val="ro-RO"/>
        </w:rPr>
        <w:t xml:space="preserve">HCL </w:t>
      </w:r>
      <w:r w:rsidR="00EC7B2E">
        <w:rPr>
          <w:b/>
          <w:bCs/>
          <w:i/>
          <w:color w:val="000000" w:themeColor="text1"/>
          <w:sz w:val="22"/>
          <w:szCs w:val="22"/>
          <w:lang w:val="ro-RO"/>
        </w:rPr>
        <w:t xml:space="preserve">nr. </w:t>
      </w:r>
      <w:r w:rsidRPr="00411A31">
        <w:rPr>
          <w:b/>
          <w:bCs/>
          <w:i/>
          <w:color w:val="000000" w:themeColor="text1"/>
          <w:sz w:val="22"/>
          <w:szCs w:val="22"/>
          <w:lang w:val="ro-RO"/>
        </w:rPr>
        <w:t xml:space="preserve">202/25.05.2021, HCL </w:t>
      </w:r>
      <w:r w:rsidR="00EC7B2E">
        <w:rPr>
          <w:b/>
          <w:bCs/>
          <w:i/>
          <w:color w:val="000000" w:themeColor="text1"/>
          <w:sz w:val="22"/>
          <w:szCs w:val="22"/>
          <w:lang w:val="ro-RO"/>
        </w:rPr>
        <w:t xml:space="preserve">nr. </w:t>
      </w:r>
      <w:r w:rsidRPr="00411A31">
        <w:rPr>
          <w:b/>
          <w:bCs/>
          <w:i/>
          <w:color w:val="000000" w:themeColor="text1"/>
          <w:sz w:val="22"/>
          <w:szCs w:val="22"/>
          <w:lang w:val="ro-RO"/>
        </w:rPr>
        <w:t>346/28.09.2021,  HCL</w:t>
      </w:r>
      <w:r w:rsidR="00EC7B2E">
        <w:rPr>
          <w:b/>
          <w:bCs/>
          <w:i/>
          <w:color w:val="000000" w:themeColor="text1"/>
          <w:sz w:val="22"/>
          <w:szCs w:val="22"/>
          <w:lang w:val="ro-RO"/>
        </w:rPr>
        <w:t xml:space="preserve"> nr. </w:t>
      </w:r>
      <w:r w:rsidRPr="00411A31">
        <w:rPr>
          <w:b/>
          <w:bCs/>
          <w:i/>
          <w:color w:val="000000" w:themeColor="text1"/>
          <w:sz w:val="22"/>
          <w:szCs w:val="22"/>
          <w:lang w:val="ro-RO"/>
        </w:rPr>
        <w:t>7/11.01.2022 și HCL</w:t>
      </w:r>
      <w:r w:rsidR="00EC7B2E">
        <w:rPr>
          <w:b/>
          <w:bCs/>
          <w:i/>
          <w:color w:val="000000" w:themeColor="text1"/>
          <w:sz w:val="22"/>
          <w:szCs w:val="22"/>
          <w:lang w:val="ro-RO"/>
        </w:rPr>
        <w:t xml:space="preserve"> nr. </w:t>
      </w:r>
      <w:r w:rsidRPr="00411A31">
        <w:rPr>
          <w:b/>
          <w:bCs/>
          <w:i/>
          <w:color w:val="000000" w:themeColor="text1"/>
          <w:sz w:val="22"/>
          <w:szCs w:val="22"/>
          <w:lang w:val="ro-RO"/>
        </w:rPr>
        <w:t>428/30.08.2022</w:t>
      </w:r>
    </w:p>
    <w:p w:rsidR="003F0B88" w:rsidRPr="00411A31" w:rsidRDefault="003F0B88" w:rsidP="003F0B88">
      <w:pPr>
        <w:jc w:val="center"/>
        <w:rPr>
          <w:b/>
          <w:bCs/>
          <w:i/>
          <w:sz w:val="22"/>
          <w:szCs w:val="22"/>
        </w:rPr>
      </w:pPr>
    </w:p>
    <w:p w:rsidR="00200D23" w:rsidRPr="00411A31" w:rsidRDefault="00200D23" w:rsidP="003F0B88">
      <w:pPr>
        <w:jc w:val="center"/>
        <w:rPr>
          <w:b/>
          <w:i/>
          <w:color w:val="000000"/>
          <w:spacing w:val="-7"/>
          <w:w w:val="105"/>
          <w:sz w:val="22"/>
          <w:szCs w:val="22"/>
        </w:rPr>
      </w:pPr>
      <w:r w:rsidRPr="00411A31">
        <w:rPr>
          <w:b/>
          <w:i/>
          <w:color w:val="000000"/>
          <w:spacing w:val="-20"/>
          <w:w w:val="105"/>
          <w:sz w:val="22"/>
          <w:szCs w:val="22"/>
        </w:rPr>
        <w:t xml:space="preserve">Sectiunea a 2 - a </w:t>
      </w:r>
      <w:r w:rsidRPr="00411A31">
        <w:rPr>
          <w:b/>
          <w:i/>
          <w:color w:val="000000"/>
          <w:spacing w:val="-20"/>
          <w:w w:val="105"/>
          <w:sz w:val="22"/>
          <w:szCs w:val="22"/>
        </w:rPr>
        <w:br/>
      </w:r>
      <w:r w:rsidRPr="00411A31">
        <w:rPr>
          <w:b/>
          <w:i/>
          <w:color w:val="000000"/>
          <w:spacing w:val="-7"/>
          <w:w w:val="105"/>
          <w:sz w:val="22"/>
          <w:szCs w:val="22"/>
        </w:rPr>
        <w:t>Motivul emiterii proiectului de hotărâre</w:t>
      </w:r>
    </w:p>
    <w:p w:rsidR="00200D23" w:rsidRPr="00411A31" w:rsidRDefault="00200D23" w:rsidP="00381033">
      <w:pPr>
        <w:pStyle w:val="ListParagraph"/>
        <w:tabs>
          <w:tab w:val="decimal" w:pos="360"/>
          <w:tab w:val="decimal" w:pos="432"/>
        </w:tabs>
        <w:spacing w:after="0" w:line="240" w:lineRule="auto"/>
        <w:jc w:val="both"/>
        <w:rPr>
          <w:rFonts w:ascii="Times New Roman" w:hAnsi="Times New Roman"/>
          <w:b/>
          <w:color w:val="000000"/>
          <w:spacing w:val="-5"/>
        </w:rPr>
      </w:pPr>
      <w:r w:rsidRPr="00411A31">
        <w:rPr>
          <w:rFonts w:ascii="Times New Roman" w:hAnsi="Times New Roman"/>
          <w:b/>
          <w:color w:val="000000"/>
          <w:spacing w:val="-5"/>
        </w:rPr>
        <w:t>Descrierea situatiei actuale</w:t>
      </w:r>
    </w:p>
    <w:p w:rsidR="00B039C6" w:rsidRPr="00411A31" w:rsidRDefault="00B039C6" w:rsidP="00B039C6">
      <w:pPr>
        <w:ind w:firstLine="720"/>
        <w:jc w:val="both"/>
        <w:rPr>
          <w:color w:val="000000"/>
          <w:sz w:val="22"/>
          <w:szCs w:val="22"/>
          <w:lang w:val="ro-RO"/>
        </w:rPr>
      </w:pPr>
      <w:r w:rsidRPr="00411A31">
        <w:rPr>
          <w:color w:val="000000"/>
          <w:sz w:val="22"/>
          <w:szCs w:val="22"/>
          <w:lang w:val="ro-RO"/>
        </w:rPr>
        <w:t xml:space="preserve">Prin HCL nr. 490/19.10.2018 a fost aprobată </w:t>
      </w:r>
      <w:r w:rsidRPr="00411A31">
        <w:rPr>
          <w:color w:val="000000"/>
          <w:sz w:val="22"/>
          <w:szCs w:val="22"/>
        </w:rPr>
        <w:t>valoarea totală a proiectului în sumă de</w:t>
      </w:r>
      <w:r w:rsidR="00183061">
        <w:rPr>
          <w:color w:val="000000"/>
          <w:sz w:val="22"/>
          <w:szCs w:val="22"/>
        </w:rPr>
        <w:t xml:space="preserve"> </w:t>
      </w:r>
      <w:r w:rsidRPr="00411A31">
        <w:rPr>
          <w:color w:val="000000"/>
          <w:sz w:val="22"/>
          <w:szCs w:val="22"/>
        </w:rPr>
        <w:t>148.118.419,84 lei, inclusiv TVA (cost total = costuri eligibile+costuri neeligibile), precum și cofinanţarea cheltuielilor ce revin Municipiului Timişoara în cuantum de 25.589.119,36 lei, modificată prin HCL</w:t>
      </w:r>
      <w:r w:rsidR="007F161F" w:rsidRPr="00411A31">
        <w:rPr>
          <w:color w:val="000000"/>
          <w:sz w:val="22"/>
          <w:szCs w:val="22"/>
        </w:rPr>
        <w:t xml:space="preserve"> nr. </w:t>
      </w:r>
      <w:r w:rsidRPr="00411A31">
        <w:rPr>
          <w:color w:val="000000"/>
          <w:sz w:val="22"/>
          <w:szCs w:val="22"/>
        </w:rPr>
        <w:t>277/14.06.2022.</w:t>
      </w:r>
    </w:p>
    <w:p w:rsidR="00B039C6" w:rsidRPr="00411A31" w:rsidRDefault="00B039C6" w:rsidP="00B039C6">
      <w:pPr>
        <w:ind w:firstLine="720"/>
        <w:jc w:val="both"/>
        <w:rPr>
          <w:color w:val="000000"/>
          <w:sz w:val="22"/>
          <w:szCs w:val="22"/>
        </w:rPr>
      </w:pPr>
      <w:r w:rsidRPr="00411A31">
        <w:rPr>
          <w:color w:val="000000"/>
          <w:sz w:val="22"/>
          <w:szCs w:val="22"/>
        </w:rPr>
        <w:t xml:space="preserve">În cadrul proiectului s-au încheiat </w:t>
      </w:r>
      <w:r w:rsidRPr="00411A31">
        <w:rPr>
          <w:sz w:val="22"/>
          <w:szCs w:val="22"/>
          <w:lang w:bidi="en-US"/>
        </w:rPr>
        <w:t xml:space="preserve">Acordul </w:t>
      </w:r>
      <w:r w:rsidRPr="00411A31">
        <w:rPr>
          <w:sz w:val="22"/>
          <w:szCs w:val="22"/>
          <w:lang w:eastAsia="en-GB"/>
        </w:rPr>
        <w:t xml:space="preserve">Contractual </w:t>
      </w:r>
      <w:r w:rsidRPr="00411A31">
        <w:rPr>
          <w:color w:val="000000"/>
          <w:sz w:val="22"/>
          <w:szCs w:val="22"/>
        </w:rPr>
        <w:t xml:space="preserve">nr. 141/10.07.2020 - Contract de proiectare și execuție de lucrări pentru Lot 1- Rețele termice primare, respectiv </w:t>
      </w:r>
      <w:r w:rsidRPr="00411A31">
        <w:rPr>
          <w:sz w:val="22"/>
          <w:szCs w:val="22"/>
          <w:lang w:bidi="en-US"/>
        </w:rPr>
        <w:t xml:space="preserve">Acordul </w:t>
      </w:r>
      <w:r w:rsidRPr="00411A31">
        <w:rPr>
          <w:sz w:val="22"/>
          <w:szCs w:val="22"/>
          <w:lang w:eastAsia="en-GB"/>
        </w:rPr>
        <w:t xml:space="preserve">Contractual </w:t>
      </w:r>
      <w:r w:rsidRPr="00411A31">
        <w:rPr>
          <w:color w:val="000000"/>
          <w:sz w:val="22"/>
          <w:szCs w:val="22"/>
        </w:rPr>
        <w:t>nr. 142/10.07.2020 - Contract de proiectare și execuție de lucrări pentru Lot 2- Rețele termice secundare. Aceste contracte se află sub incidența H.G. nr. 1/2018 care prevede clauze de ajustare pentru valoarea lucrărilor rămase de executat. A</w:t>
      </w:r>
      <w:r w:rsidR="00183061">
        <w:rPr>
          <w:color w:val="000000"/>
          <w:sz w:val="22"/>
          <w:szCs w:val="22"/>
        </w:rPr>
        <w:t>justarea</w:t>
      </w:r>
      <w:r w:rsidRPr="00411A31">
        <w:rPr>
          <w:color w:val="000000"/>
          <w:sz w:val="22"/>
          <w:szCs w:val="22"/>
        </w:rPr>
        <w:t xml:space="preserve"> se aplică la fiecare situație de lucrări emisă, până la finalizarea lucrărilor, </w:t>
      </w:r>
      <w:r w:rsidRPr="00411A31">
        <w:rPr>
          <w:sz w:val="22"/>
          <w:szCs w:val="22"/>
        </w:rPr>
        <w:t xml:space="preserve"> pentru perioada care depășește </w:t>
      </w:r>
      <w:r w:rsidRPr="00411A31">
        <w:rPr>
          <w:color w:val="000000"/>
          <w:sz w:val="22"/>
          <w:szCs w:val="22"/>
        </w:rPr>
        <w:t>365 de zile.</w:t>
      </w:r>
    </w:p>
    <w:p w:rsidR="00B039C6" w:rsidRPr="00411A31" w:rsidRDefault="00B039C6" w:rsidP="00B039C6">
      <w:pPr>
        <w:ind w:firstLine="720"/>
        <w:jc w:val="both"/>
        <w:rPr>
          <w:sz w:val="22"/>
          <w:szCs w:val="22"/>
        </w:rPr>
      </w:pPr>
      <w:r w:rsidRPr="00411A31">
        <w:rPr>
          <w:sz w:val="22"/>
          <w:szCs w:val="22"/>
        </w:rPr>
        <w:t xml:space="preserve"> Prin  Actul Adițional nr. 2/29.10.2021 la contractul de finanțare nr. 247/09.05.2019 au fost consumate toate economiile din cadrul proiectului pentru acoperirea parțială a ajustărilor de preț conform prevederilor contractuale. </w:t>
      </w:r>
    </w:p>
    <w:p w:rsidR="00B039C6" w:rsidRPr="00411A31" w:rsidRDefault="007F161F" w:rsidP="00B039C6">
      <w:pPr>
        <w:ind w:firstLine="720"/>
        <w:jc w:val="both"/>
        <w:rPr>
          <w:color w:val="000000"/>
          <w:sz w:val="22"/>
          <w:szCs w:val="22"/>
        </w:rPr>
      </w:pPr>
      <w:r w:rsidRPr="00411A31">
        <w:rPr>
          <w:sz w:val="22"/>
          <w:szCs w:val="22"/>
          <w:lang w:val="pt-PT"/>
        </w:rPr>
        <w:t>Î</w:t>
      </w:r>
      <w:r w:rsidR="00B039C6" w:rsidRPr="00411A31">
        <w:rPr>
          <w:sz w:val="22"/>
          <w:szCs w:val="22"/>
          <w:lang w:val="pt-PT"/>
        </w:rPr>
        <w:t>n conformitate cu prevederile H.G. 379/07.05.2020 și estimările privind sumele necesare majorării valorii contractelor până la finalizarea acestora, Devizul General a fost actualizat și aprobat prin Hotararea de Consiliu Local nr. 7/11.01.2022.</w:t>
      </w:r>
    </w:p>
    <w:p w:rsidR="00B039C6" w:rsidRPr="00411A31" w:rsidRDefault="00B039C6" w:rsidP="00B039C6">
      <w:pPr>
        <w:ind w:firstLine="720"/>
        <w:jc w:val="both"/>
        <w:rPr>
          <w:color w:val="000000"/>
          <w:sz w:val="22"/>
          <w:szCs w:val="22"/>
        </w:rPr>
      </w:pPr>
      <w:r w:rsidRPr="00411A31">
        <w:rPr>
          <w:color w:val="000000" w:themeColor="text1"/>
          <w:sz w:val="22"/>
          <w:szCs w:val="22"/>
          <w:lang w:val="ro-RO"/>
        </w:rPr>
        <w:t>Ca urmare a solicitării</w:t>
      </w:r>
      <w:r w:rsidRPr="00411A31">
        <w:rPr>
          <w:color w:val="000000"/>
          <w:sz w:val="22"/>
          <w:szCs w:val="22"/>
          <w:lang w:val="pt-PT"/>
        </w:rPr>
        <w:t xml:space="preserve"> Municipiului Timișoara cu nr.</w:t>
      </w:r>
      <w:r w:rsidRPr="00411A31">
        <w:rPr>
          <w:color w:val="000000"/>
          <w:sz w:val="22"/>
          <w:szCs w:val="22"/>
        </w:rPr>
        <w:t xml:space="preserve"> UMP 33/19.01.2022, </w:t>
      </w:r>
      <w:r w:rsidRPr="00411A31">
        <w:rPr>
          <w:iCs/>
          <w:color w:val="000000"/>
          <w:sz w:val="22"/>
          <w:szCs w:val="22"/>
          <w:lang w:val="pt-PT"/>
        </w:rPr>
        <w:t>Autoritatea de Management pentru Programul Operațional Infrastructură Mare,</w:t>
      </w:r>
      <w:r w:rsidRPr="00411A31">
        <w:rPr>
          <w:color w:val="000000"/>
          <w:sz w:val="22"/>
          <w:szCs w:val="22"/>
          <w:lang w:val="pt-PT"/>
        </w:rPr>
        <w:t xml:space="preserve"> a acceptat revizuirea valorii eligibile a proiectului, prin modificarea </w:t>
      </w:r>
      <w:r w:rsidRPr="00411A31">
        <w:rPr>
          <w:iCs/>
          <w:color w:val="000000"/>
          <w:sz w:val="22"/>
          <w:szCs w:val="22"/>
          <w:lang w:val="pt-PT"/>
        </w:rPr>
        <w:t xml:space="preserve">devizului general în sensul creșterii valorii liniei bugetare de diverse și neprevăzute la 10% din valoarea proiectului </w:t>
      </w:r>
      <w:r w:rsidRPr="00411A31">
        <w:rPr>
          <w:color w:val="000000"/>
          <w:sz w:val="22"/>
          <w:szCs w:val="22"/>
          <w:lang w:val="pt-PT"/>
        </w:rPr>
        <w:t>conform prevederilor art. 10, respectiv art.14, lit. a) din HG 379/07.05.2020, în acest sens a fost</w:t>
      </w:r>
      <w:r w:rsidRPr="00411A31">
        <w:rPr>
          <w:iCs/>
          <w:color w:val="000000"/>
          <w:sz w:val="22"/>
          <w:szCs w:val="22"/>
          <w:lang w:val="pt-PT"/>
        </w:rPr>
        <w:t xml:space="preserve"> încheiat Actul adițional nr. 3 din data de 26.07.2022 la contractul de finanțare nr. </w:t>
      </w:r>
      <w:r w:rsidRPr="00411A31">
        <w:rPr>
          <w:sz w:val="22"/>
          <w:szCs w:val="22"/>
          <w:lang w:val="ro-RO"/>
        </w:rPr>
        <w:t>247/09.05.2019, v</w:t>
      </w:r>
      <w:r w:rsidRPr="00411A31">
        <w:rPr>
          <w:color w:val="000000"/>
          <w:sz w:val="22"/>
          <w:szCs w:val="22"/>
        </w:rPr>
        <w:t>aloarea proiectului fiind majorată la 160.280.811,28 lei (inclusiv TVA). Prin HCL277/14.06.2022 a fost aprobată valoarea proiectului de 160.280.811,28 lei (inclusiv TVA).</w:t>
      </w:r>
    </w:p>
    <w:p w:rsidR="00B039C6" w:rsidRPr="00411A31" w:rsidRDefault="00B039C6" w:rsidP="00B039C6">
      <w:pPr>
        <w:autoSpaceDE w:val="0"/>
        <w:autoSpaceDN w:val="0"/>
        <w:adjustRightInd w:val="0"/>
        <w:ind w:firstLine="720"/>
        <w:jc w:val="both"/>
        <w:rPr>
          <w:sz w:val="22"/>
          <w:szCs w:val="22"/>
        </w:rPr>
      </w:pPr>
      <w:r w:rsidRPr="00411A31">
        <w:rPr>
          <w:color w:val="000000"/>
          <w:sz w:val="22"/>
          <w:szCs w:val="22"/>
        </w:rPr>
        <w:t xml:space="preserve">În vederea efectuării decontarilor privind ajustările prevazute în toate contractele din cadrul proiectului </w:t>
      </w:r>
      <w:r w:rsidRPr="00411A31">
        <w:rPr>
          <w:sz w:val="22"/>
          <w:szCs w:val="22"/>
        </w:rPr>
        <w:t>a fost incheiat Actul Aditional nr. 4/02.11.2022 la contractul de finantare nr. 247/09.05.2019.</w:t>
      </w:r>
    </w:p>
    <w:p w:rsidR="00B039C6" w:rsidRPr="00411A31" w:rsidRDefault="00B039C6" w:rsidP="00B039C6">
      <w:pPr>
        <w:ind w:firstLine="720"/>
        <w:jc w:val="both"/>
        <w:rPr>
          <w:sz w:val="22"/>
          <w:szCs w:val="22"/>
          <w:lang w:val="ro-RO"/>
        </w:rPr>
      </w:pPr>
      <w:r w:rsidRPr="00411A31">
        <w:rPr>
          <w:sz w:val="22"/>
          <w:szCs w:val="22"/>
        </w:rPr>
        <w:t xml:space="preserve">Ca urmare a creșterii indicilor de piață/ajustare într-un ritm mult mai accelerat decat s-a estimat au fost consumate sumele prevazute în Actul adițional nr. 3/26.07.2022 </w:t>
      </w:r>
      <w:r w:rsidRPr="00411A31">
        <w:rPr>
          <w:iCs/>
          <w:sz w:val="22"/>
          <w:szCs w:val="22"/>
          <w:lang w:val="pt-PT"/>
        </w:rPr>
        <w:t xml:space="preserve">la contractul de finanțare nr. </w:t>
      </w:r>
      <w:r w:rsidRPr="00411A31">
        <w:rPr>
          <w:sz w:val="22"/>
          <w:szCs w:val="22"/>
          <w:lang w:val="ro-RO"/>
        </w:rPr>
        <w:t>247/09.05.2019.</w:t>
      </w:r>
    </w:p>
    <w:p w:rsidR="00200D23" w:rsidRPr="00411A31" w:rsidRDefault="00200D23" w:rsidP="00381033">
      <w:pPr>
        <w:pStyle w:val="ListParagraph"/>
        <w:tabs>
          <w:tab w:val="decimal" w:pos="360"/>
        </w:tabs>
        <w:spacing w:before="64" w:after="0" w:line="240" w:lineRule="auto"/>
        <w:jc w:val="both"/>
        <w:rPr>
          <w:rFonts w:ascii="Times New Roman" w:hAnsi="Times New Roman"/>
          <w:b/>
          <w:color w:val="000000"/>
          <w:spacing w:val="-5"/>
        </w:rPr>
      </w:pPr>
      <w:r w:rsidRPr="00411A31">
        <w:rPr>
          <w:rFonts w:ascii="Times New Roman" w:hAnsi="Times New Roman"/>
          <w:b/>
          <w:color w:val="000000"/>
          <w:spacing w:val="-5"/>
        </w:rPr>
        <w:lastRenderedPageBreak/>
        <w:t>Schimbari preconizate și rezultate așteptate</w:t>
      </w:r>
      <w:r w:rsidR="001D3E69" w:rsidRPr="00411A31">
        <w:rPr>
          <w:rFonts w:ascii="Times New Roman" w:hAnsi="Times New Roman"/>
          <w:b/>
          <w:color w:val="000000"/>
          <w:spacing w:val="-5"/>
        </w:rPr>
        <w:t>:</w:t>
      </w:r>
    </w:p>
    <w:p w:rsidR="007F161F" w:rsidRPr="00411A31" w:rsidRDefault="007F161F" w:rsidP="007F161F">
      <w:pPr>
        <w:ind w:firstLine="720"/>
        <w:jc w:val="both"/>
        <w:rPr>
          <w:sz w:val="22"/>
          <w:szCs w:val="22"/>
          <w:lang w:val="ro-RO"/>
        </w:rPr>
      </w:pPr>
      <w:r w:rsidRPr="00411A31">
        <w:rPr>
          <w:bCs/>
          <w:sz w:val="22"/>
          <w:szCs w:val="22"/>
          <w:lang w:val="ro-RO"/>
        </w:rPr>
        <w:t>Prin Ordonanţa de Urgenţă nr. 64/2022,</w:t>
      </w:r>
      <w:r w:rsidRPr="00411A31">
        <w:rPr>
          <w:b/>
          <w:bCs/>
          <w:sz w:val="22"/>
          <w:szCs w:val="22"/>
          <w:lang w:val="ro-RO"/>
        </w:rPr>
        <w:t xml:space="preserve"> </w:t>
      </w:r>
      <w:hyperlink r:id="rId8" w:anchor="26339599" w:history="1">
        <w:r w:rsidRPr="00411A31">
          <w:rPr>
            <w:bCs/>
            <w:sz w:val="22"/>
            <w:szCs w:val="22"/>
            <w:lang w:val="ro-RO"/>
          </w:rPr>
          <w:t>se</w:t>
        </w:r>
        <w:r w:rsidRPr="00411A31">
          <w:rPr>
            <w:rStyle w:val="Hyperlink"/>
            <w:bCs/>
            <w:color w:val="auto"/>
            <w:sz w:val="22"/>
            <w:szCs w:val="22"/>
            <w:u w:val="none"/>
            <w:lang w:val="ro-RO"/>
          </w:rPr>
          <w:t xml:space="preserv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7F161F" w:rsidRPr="00411A31" w:rsidRDefault="007F161F" w:rsidP="007F161F">
      <w:pPr>
        <w:ind w:firstLine="720"/>
        <w:jc w:val="both"/>
        <w:rPr>
          <w:sz w:val="22"/>
          <w:szCs w:val="22"/>
          <w:lang w:val="ro-RO"/>
        </w:rPr>
      </w:pPr>
      <w:r w:rsidRPr="00411A31">
        <w:rPr>
          <w:bCs/>
          <w:sz w:val="22"/>
          <w:szCs w:val="22"/>
          <w:lang w:val="ro-RO"/>
        </w:rPr>
        <w:t>În conformitate cu prevederile art. 3 alin.</w:t>
      </w:r>
      <w:r w:rsidRPr="00411A31">
        <w:rPr>
          <w:b/>
          <w:bCs/>
          <w:sz w:val="22"/>
          <w:szCs w:val="22"/>
          <w:lang w:val="ro-RO"/>
        </w:rPr>
        <w:t xml:space="preserve"> </w:t>
      </w:r>
      <w:hyperlink r:id="rId9" w:anchor="26339599" w:history="1">
        <w:r w:rsidRPr="00411A31">
          <w:rPr>
            <w:rStyle w:val="Hyperlink"/>
            <w:bCs/>
            <w:color w:val="auto"/>
            <w:sz w:val="22"/>
            <w:szCs w:val="22"/>
            <w:u w:val="none"/>
            <w:lang w:val="ro-RO"/>
          </w:rPr>
          <w:t>(1)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cărora s-a fundamentat preţul contractelor de achiziţie şi care nu au putut fi prevăzute de ofertanţi la data elaborării ofertelor, chiar dacă preţurile contractelor sunt ferme sau formulele de ajustare a preţului au fost cuprinse în documentaţiile de atribuire, din cauza caracterului imprevizibil al acestor creşteri sau diminuări de costuri.</w:t>
        </w:r>
      </w:hyperlink>
    </w:p>
    <w:p w:rsidR="007F161F" w:rsidRPr="00411A31" w:rsidRDefault="007F161F" w:rsidP="007F161F">
      <w:pPr>
        <w:ind w:firstLine="720"/>
        <w:jc w:val="both"/>
        <w:rPr>
          <w:sz w:val="22"/>
          <w:szCs w:val="22"/>
        </w:rPr>
      </w:pPr>
      <w:r w:rsidRPr="00411A31">
        <w:rPr>
          <w:sz w:val="22"/>
          <w:szCs w:val="22"/>
        </w:rPr>
        <w:t>Potrivit articolului 42 alin (1) din OUG nr. 64/2022 beneficiarilor fondurilor externe nerambursabile care au încheiat contracte de achiziţie publică/contracte sectoriale/acorduri-cadru care au clauze referitoare la ajustările de preţ în vigoare, inclusiv prin aplicarea prevederilor Hotărârii Guvernului nr. 1/2018 pentru aprobarea condiţiilor generale şi specifice pentru anumite categorii de contracte de achiziţie aferente obiectivelor de investiţii finanţate din fonduri publice, cu modificările şi completările ulterioare, le sunt aplicabile dispoziţiile capitolului III - Prevederi referitoare la încheierea de acte adiţionale la contractele de finanţare.</w:t>
      </w:r>
    </w:p>
    <w:p w:rsidR="007F161F" w:rsidRPr="00411A31" w:rsidRDefault="007F161F" w:rsidP="007F161F">
      <w:pPr>
        <w:ind w:firstLine="720"/>
        <w:jc w:val="both"/>
        <w:rPr>
          <w:sz w:val="22"/>
          <w:szCs w:val="22"/>
        </w:rPr>
      </w:pPr>
      <w:r w:rsidRPr="00411A31">
        <w:rPr>
          <w:sz w:val="22"/>
          <w:szCs w:val="22"/>
        </w:rPr>
        <w:t xml:space="preserve">OUG nr. 64/2022 prevede la Articolul 9 alin. (1) ca </w:t>
      </w:r>
      <w:r w:rsidRPr="00411A31">
        <w:rPr>
          <w:bCs/>
          <w:i/>
          <w:sz w:val="22"/>
          <w:szCs w:val="22"/>
        </w:rPr>
        <w:t>Beneficiarii fondurilor externe nerambursabile care aplică prevederile art. 3 constituie o rezervă de implementare, în limitele şi condiţiile prevăzute de prezenta ordonanţă de urgenţă, destinată plăţii ajustărilor de preţ</w:t>
      </w:r>
      <w:r w:rsidRPr="00411A31">
        <w:rPr>
          <w:i/>
          <w:sz w:val="22"/>
          <w:szCs w:val="22"/>
        </w:rPr>
        <w:t xml:space="preserve"> ale contractelor de achiziţie publică/contractelor sectoriale/acordurilor-cadru sau altor categorii de contracte prin încheierea de act adiţional la contractul de achiziţie publică/contractele sectoriale/acordurile-cadru, în limitele şi condiţiile prevăzute de prezenta ordonanţă de urgenţă.</w:t>
      </w:r>
    </w:p>
    <w:p w:rsidR="007F161F" w:rsidRPr="00411A31" w:rsidRDefault="007F161F" w:rsidP="007F161F">
      <w:pPr>
        <w:ind w:firstLine="720"/>
        <w:jc w:val="both"/>
        <w:rPr>
          <w:bCs/>
          <w:sz w:val="22"/>
          <w:szCs w:val="22"/>
          <w:lang w:val="pt-PT"/>
        </w:rPr>
      </w:pPr>
      <w:r w:rsidRPr="00411A31">
        <w:rPr>
          <w:sz w:val="22"/>
          <w:szCs w:val="22"/>
          <w:lang w:val="en-GB"/>
        </w:rPr>
        <w:t xml:space="preserve">In conformitate cu Art. 9 alin. </w:t>
      </w:r>
      <w:r w:rsidRPr="00411A31">
        <w:rPr>
          <w:sz w:val="22"/>
          <w:szCs w:val="22"/>
          <w:lang w:val="pt-PT"/>
        </w:rPr>
        <w:t xml:space="preserve">3 din OUG nr. 64/2022: </w:t>
      </w:r>
      <w:r w:rsidRPr="00411A31">
        <w:rPr>
          <w:bCs/>
          <w:i/>
          <w:sz w:val="22"/>
          <w:szCs w:val="22"/>
          <w:lang w:val="pt-PT"/>
        </w:rPr>
        <w:t>Rezerva de implementare pentru reechilibrarea contractelor se constituie iniţial, în procent de până la 23% din valoarea restului de executat a contractului de achiziţie, la momentul intrării în vigoare a prezentei ordonanţe de urgenţă şi poate fi utilizată numai pentru plata diferenţelor de preţ aferente ajustării preţului contractelor de achiziţie, fără a depăşi pragurile stabilite la art. 8 şi 18.</w:t>
      </w:r>
    </w:p>
    <w:p w:rsidR="007F161F" w:rsidRPr="00411A31" w:rsidRDefault="007F161F" w:rsidP="007F161F">
      <w:pPr>
        <w:tabs>
          <w:tab w:val="left" w:pos="720"/>
        </w:tabs>
        <w:jc w:val="both"/>
        <w:rPr>
          <w:color w:val="000000"/>
          <w:sz w:val="22"/>
          <w:szCs w:val="22"/>
          <w:u w:val="single"/>
          <w:lang w:val="ro-RO"/>
        </w:rPr>
      </w:pPr>
      <w:r w:rsidRPr="00411A31">
        <w:rPr>
          <w:bCs/>
          <w:color w:val="000000"/>
          <w:sz w:val="22"/>
          <w:szCs w:val="22"/>
          <w:lang w:val="ro-RO"/>
        </w:rPr>
        <w:tab/>
        <w:t>În conformitate cu prevederile art. 9 alin. 7 din OUG nr. 64/2022:</w:t>
      </w:r>
      <w:r w:rsidRPr="00411A31">
        <w:rPr>
          <w:color w:val="000000"/>
          <w:sz w:val="22"/>
          <w:szCs w:val="22"/>
          <w:lang w:val="ro-RO"/>
        </w:rPr>
        <w:t xml:space="preserve"> </w:t>
      </w:r>
      <w:hyperlink r:id="rId10" w:anchor="26339769" w:history="1">
        <w:r w:rsidRPr="00411A31">
          <w:rPr>
            <w:rStyle w:val="Hyperlink"/>
            <w:bCs/>
            <w:i/>
            <w:iCs/>
            <w:color w:val="000000"/>
            <w:sz w:val="22"/>
            <w:szCs w:val="22"/>
            <w:u w:val="none"/>
            <w:lang w:val="ro-RO"/>
          </w:rPr>
          <w:t>r</w:t>
        </w:r>
        <w:r w:rsidRPr="00411A31">
          <w:rPr>
            <w:rStyle w:val="salnbdy"/>
            <w:rFonts w:eastAsia="Calibri"/>
            <w:i/>
            <w:iCs/>
            <w:sz w:val="22"/>
            <w:szCs w:val="22"/>
          </w:rPr>
          <w:t xml:space="preserve">ezerva de implementare destinată finanţării ajustărilor de preţ face parte din valoarea investiţiei de bază şi se include în mod corespunzător în devizul general de investiţii reglementat de </w:t>
        </w:r>
        <w:hyperlink r:id="rId11" w:anchor="26339826" w:history="1">
          <w:r w:rsidRPr="00411A31">
            <w:rPr>
              <w:rStyle w:val="salnbdy"/>
              <w:rFonts w:eastAsia="Calibri"/>
              <w:i/>
              <w:iCs/>
              <w:sz w:val="22"/>
              <w:szCs w:val="22"/>
            </w:rPr>
            <w:t>Hotărârea Guvernului nr. 907/2016</w:t>
          </w:r>
        </w:hyperlink>
        <w:r w:rsidRPr="00411A31">
          <w:rPr>
            <w:rStyle w:val="salnbdy"/>
            <w:rFonts w:eastAsia="Calibri"/>
            <w:i/>
            <w:iCs/>
            <w:sz w:val="22"/>
            <w:szCs w:val="22"/>
          </w:rPr>
          <w:t>, cu modificările şi completările ulterioare</w:t>
        </w:r>
        <w:r w:rsidRPr="00411A31">
          <w:rPr>
            <w:rStyle w:val="salnbdy"/>
            <w:rFonts w:eastAsia="Calibri"/>
            <w:sz w:val="22"/>
            <w:szCs w:val="22"/>
          </w:rPr>
          <w:t>.</w:t>
        </w:r>
      </w:hyperlink>
    </w:p>
    <w:p w:rsidR="007F161F" w:rsidRPr="00411A31" w:rsidRDefault="007F161F" w:rsidP="007F161F">
      <w:pPr>
        <w:jc w:val="both"/>
        <w:rPr>
          <w:color w:val="000000"/>
          <w:sz w:val="22"/>
          <w:szCs w:val="22"/>
        </w:rPr>
      </w:pPr>
      <w:r w:rsidRPr="00411A31">
        <w:rPr>
          <w:color w:val="000000"/>
          <w:sz w:val="22"/>
          <w:szCs w:val="22"/>
        </w:rPr>
        <w:tab/>
        <w:t>Astfel:</w:t>
      </w:r>
    </w:p>
    <w:p w:rsidR="007F161F" w:rsidRPr="00411A31" w:rsidRDefault="007F161F" w:rsidP="007F161F">
      <w:pPr>
        <w:autoSpaceDE w:val="0"/>
        <w:autoSpaceDN w:val="0"/>
        <w:adjustRightInd w:val="0"/>
        <w:ind w:firstLine="360"/>
        <w:jc w:val="both"/>
        <w:rPr>
          <w:bCs/>
          <w:sz w:val="22"/>
          <w:szCs w:val="22"/>
          <w:lang w:val="pt-PT"/>
        </w:rPr>
      </w:pPr>
      <w:r w:rsidRPr="00411A31">
        <w:rPr>
          <w:bCs/>
          <w:sz w:val="22"/>
          <w:szCs w:val="22"/>
          <w:lang w:val="pt-PT"/>
        </w:rPr>
        <w:t>-Valoarea totală a proiectului aprobată prin Actul adițional nr. 3</w:t>
      </w:r>
      <w:r w:rsidRPr="00411A31">
        <w:rPr>
          <w:bCs/>
          <w:sz w:val="22"/>
          <w:szCs w:val="22"/>
        </w:rPr>
        <w:t>/26.07.2022</w:t>
      </w:r>
      <w:r w:rsidRPr="00411A31">
        <w:rPr>
          <w:bCs/>
          <w:sz w:val="22"/>
          <w:szCs w:val="22"/>
          <w:lang w:val="pt-PT"/>
        </w:rPr>
        <w:t xml:space="preserve"> la contractul de finanțare este de 160.280.811,28 lei (inclusiv TVA), respectiv 134.936.942,52 lei (fără TVA);</w:t>
      </w:r>
    </w:p>
    <w:p w:rsidR="007F161F" w:rsidRPr="00411A31" w:rsidRDefault="007F161F" w:rsidP="007F161F">
      <w:pPr>
        <w:autoSpaceDE w:val="0"/>
        <w:autoSpaceDN w:val="0"/>
        <w:adjustRightInd w:val="0"/>
        <w:ind w:firstLine="360"/>
        <w:jc w:val="both"/>
        <w:rPr>
          <w:bCs/>
          <w:sz w:val="22"/>
          <w:szCs w:val="22"/>
          <w:lang w:val="pt-PT"/>
        </w:rPr>
      </w:pPr>
      <w:r w:rsidRPr="00411A31">
        <w:rPr>
          <w:bCs/>
          <w:sz w:val="22"/>
          <w:szCs w:val="22"/>
          <w:lang w:val="pt-PT"/>
        </w:rPr>
        <w:t>-Valoarea totală a costurilor eligibile şi neeligibile ce se impun a fi suplimentate este de 9.546.502,</w:t>
      </w:r>
      <w:r w:rsidR="00183061">
        <w:rPr>
          <w:bCs/>
          <w:sz w:val="22"/>
          <w:szCs w:val="22"/>
          <w:lang w:val="pt-PT"/>
        </w:rPr>
        <w:t>82</w:t>
      </w:r>
      <w:r w:rsidRPr="00411A31">
        <w:rPr>
          <w:bCs/>
          <w:sz w:val="22"/>
          <w:szCs w:val="22"/>
          <w:lang w:val="pt-PT"/>
        </w:rPr>
        <w:t xml:space="preserve"> lei (inclusiv TVA), respectiv 8.022.27</w:t>
      </w:r>
      <w:r w:rsidR="00183061">
        <w:rPr>
          <w:bCs/>
          <w:sz w:val="22"/>
          <w:szCs w:val="22"/>
          <w:lang w:val="pt-PT"/>
        </w:rPr>
        <w:t>1</w:t>
      </w:r>
      <w:r w:rsidRPr="00411A31">
        <w:rPr>
          <w:bCs/>
          <w:sz w:val="22"/>
          <w:szCs w:val="22"/>
          <w:lang w:val="pt-PT"/>
        </w:rPr>
        <w:t>,28 lei</w:t>
      </w:r>
      <w:r w:rsidR="00E729DC">
        <w:rPr>
          <w:bCs/>
          <w:sz w:val="22"/>
          <w:szCs w:val="22"/>
          <w:lang w:val="pt-PT"/>
        </w:rPr>
        <w:t xml:space="preserve"> </w:t>
      </w:r>
      <w:r w:rsidR="00E729DC" w:rsidRPr="00411A31">
        <w:rPr>
          <w:bCs/>
          <w:sz w:val="22"/>
          <w:szCs w:val="22"/>
          <w:lang w:val="pt-PT"/>
        </w:rPr>
        <w:t>(fără TVA)</w:t>
      </w:r>
      <w:r w:rsidRPr="00411A31">
        <w:rPr>
          <w:bCs/>
          <w:sz w:val="22"/>
          <w:szCs w:val="22"/>
          <w:lang w:val="pt-PT"/>
        </w:rPr>
        <w:t xml:space="preserve"> și reprezintă rezerva de implementare pentru Acordul Contractual nr. 141/10.07.2020 și </w:t>
      </w:r>
      <w:r w:rsidR="00E729DC" w:rsidRPr="00411A31">
        <w:rPr>
          <w:bCs/>
          <w:sz w:val="22"/>
          <w:szCs w:val="22"/>
          <w:lang w:val="pt-PT"/>
        </w:rPr>
        <w:t xml:space="preserve">Acordul Contractual nr. </w:t>
      </w:r>
      <w:r w:rsidRPr="00411A31">
        <w:rPr>
          <w:bCs/>
          <w:sz w:val="22"/>
          <w:szCs w:val="22"/>
          <w:lang w:val="pt-PT"/>
        </w:rPr>
        <w:t>142/10.07.202</w:t>
      </w:r>
      <w:r w:rsidR="00E729DC">
        <w:rPr>
          <w:bCs/>
          <w:sz w:val="22"/>
          <w:szCs w:val="22"/>
          <w:lang w:val="pt-PT"/>
        </w:rPr>
        <w:t>0</w:t>
      </w:r>
      <w:r w:rsidRPr="00411A31">
        <w:rPr>
          <w:bCs/>
          <w:sz w:val="22"/>
          <w:szCs w:val="22"/>
          <w:lang w:val="pt-PT"/>
        </w:rPr>
        <w:t xml:space="preserve">,  </w:t>
      </w:r>
      <w:r w:rsidRPr="00411A31">
        <w:rPr>
          <w:rStyle w:val="rezumat1"/>
          <w:color w:val="000000"/>
          <w:sz w:val="22"/>
          <w:szCs w:val="22"/>
        </w:rPr>
        <w:t xml:space="preserve"> constituind un procent de 23% din valoarea restului de executat a contractelor, la momentul intrării în vigoare a OUG nr. 64/2022</w:t>
      </w:r>
    </w:p>
    <w:p w:rsidR="007F161F" w:rsidRPr="00411A31" w:rsidRDefault="007F161F" w:rsidP="007F161F">
      <w:pPr>
        <w:autoSpaceDE w:val="0"/>
        <w:autoSpaceDN w:val="0"/>
        <w:adjustRightInd w:val="0"/>
        <w:ind w:firstLine="360"/>
        <w:jc w:val="both"/>
        <w:rPr>
          <w:bCs/>
          <w:sz w:val="22"/>
          <w:szCs w:val="22"/>
          <w:lang w:val="pt-PT"/>
        </w:rPr>
      </w:pPr>
      <w:r w:rsidRPr="00411A31">
        <w:rPr>
          <w:bCs/>
          <w:sz w:val="22"/>
          <w:szCs w:val="22"/>
          <w:lang w:val="pt-PT"/>
        </w:rPr>
        <w:t>-Valoarea totală majorată a proiectului este de 169.827.31</w:t>
      </w:r>
      <w:r w:rsidR="00183061">
        <w:rPr>
          <w:bCs/>
          <w:sz w:val="22"/>
          <w:szCs w:val="22"/>
          <w:lang w:val="pt-PT"/>
        </w:rPr>
        <w:t>4,10</w:t>
      </w:r>
      <w:r w:rsidRPr="00411A31">
        <w:rPr>
          <w:bCs/>
          <w:sz w:val="22"/>
          <w:szCs w:val="22"/>
          <w:lang w:val="pt-PT"/>
        </w:rPr>
        <w:t xml:space="preserve"> lei (inclusiv TVA), respectiv 142.959.21</w:t>
      </w:r>
      <w:r w:rsidR="00183061">
        <w:rPr>
          <w:bCs/>
          <w:sz w:val="22"/>
          <w:szCs w:val="22"/>
          <w:lang w:val="pt-PT"/>
        </w:rPr>
        <w:t>3</w:t>
      </w:r>
      <w:r w:rsidRPr="00411A31">
        <w:rPr>
          <w:bCs/>
          <w:sz w:val="22"/>
          <w:szCs w:val="22"/>
          <w:lang w:val="pt-PT"/>
        </w:rPr>
        <w:t>,80 lei (fără TVA).</w:t>
      </w:r>
    </w:p>
    <w:p w:rsidR="007F161F" w:rsidRPr="00411A31" w:rsidRDefault="007F161F" w:rsidP="007F161F">
      <w:pPr>
        <w:ind w:firstLine="720"/>
        <w:jc w:val="both"/>
        <w:rPr>
          <w:color w:val="000000" w:themeColor="text1"/>
          <w:sz w:val="22"/>
          <w:szCs w:val="22"/>
          <w:lang w:val="ro-RO"/>
        </w:rPr>
      </w:pPr>
      <w:r w:rsidRPr="00411A31">
        <w:rPr>
          <w:color w:val="000000" w:themeColor="text1"/>
          <w:sz w:val="22"/>
          <w:szCs w:val="22"/>
          <w:lang w:val="ro-RO"/>
        </w:rPr>
        <w:t>În baza rezervelor de implementare constituite la nivelul contractelor de achiziție publică se constituie rezerva de ajustare a valorii contractului de finanțare, conform art. 13 alin (2) din OUG 64/2022.</w:t>
      </w:r>
    </w:p>
    <w:p w:rsidR="007F161F" w:rsidRPr="00411A31" w:rsidRDefault="007F161F" w:rsidP="007F161F">
      <w:pPr>
        <w:ind w:firstLine="720"/>
        <w:jc w:val="both"/>
        <w:rPr>
          <w:color w:val="000000" w:themeColor="text1"/>
          <w:sz w:val="22"/>
          <w:szCs w:val="22"/>
          <w:lang w:val="ro-RO"/>
        </w:rPr>
      </w:pPr>
      <w:r w:rsidRPr="00411A31">
        <w:rPr>
          <w:color w:val="000000" w:themeColor="text1"/>
          <w:sz w:val="22"/>
          <w:szCs w:val="22"/>
          <w:lang w:val="ro-RO"/>
        </w:rPr>
        <w:t xml:space="preserve">Conform art. 3 alin. (8) din OUG 64/2022 </w:t>
      </w:r>
      <w:r w:rsidRPr="00411A31">
        <w:rPr>
          <w:i/>
          <w:iCs/>
          <w:color w:val="000000" w:themeColor="text1"/>
          <w:sz w:val="22"/>
          <w:szCs w:val="22"/>
          <w:lang w:val="ro-RO"/>
        </w:rPr>
        <w:t>in cazul în care ajustarea nu se încadrează la capitolul diverse și nepevazute și nici în economiile contractului de finanțare, se încheie act adițional la contractul de finanțare pentru majorarea valorii eligibile și a cheltuielilor neeligibile ale proiectului</w:t>
      </w:r>
      <w:r w:rsidRPr="00411A31">
        <w:rPr>
          <w:color w:val="000000" w:themeColor="text1"/>
          <w:sz w:val="22"/>
          <w:szCs w:val="22"/>
          <w:lang w:val="ro-RO"/>
        </w:rPr>
        <w:t xml:space="preserve">, </w:t>
      </w:r>
      <w:r w:rsidRPr="00411A31">
        <w:rPr>
          <w:i/>
          <w:iCs/>
          <w:color w:val="000000" w:themeColor="text1"/>
          <w:sz w:val="22"/>
          <w:szCs w:val="22"/>
          <w:lang w:val="ro-RO"/>
        </w:rPr>
        <w:t xml:space="preserve">după utilizarea </w:t>
      </w:r>
      <w:r w:rsidRPr="00411A31">
        <w:rPr>
          <w:i/>
          <w:iCs/>
          <w:color w:val="000000" w:themeColor="text1"/>
          <w:sz w:val="22"/>
          <w:szCs w:val="22"/>
          <w:lang w:val="ro-RO"/>
        </w:rPr>
        <w:lastRenderedPageBreak/>
        <w:t>unui procent de 75% din valoarea eligibilă a contractului de finanțare.</w:t>
      </w:r>
      <w:r w:rsidRPr="00411A31">
        <w:rPr>
          <w:color w:val="000000" w:themeColor="text1"/>
          <w:sz w:val="22"/>
          <w:szCs w:val="22"/>
          <w:lang w:val="ro-RO"/>
        </w:rPr>
        <w:t xml:space="preserve"> În prezent nu mai sunt sume disponibile în cadrul contractului de finanțare pentru acoperirea sumelor rezultate din ajustarea prețului contractelor conform clauzelor contractuale și este utilizat un procent de 78% din valoarea eligibilă a contractului de finanțare.</w:t>
      </w:r>
    </w:p>
    <w:p w:rsidR="007F161F" w:rsidRPr="00411A31" w:rsidRDefault="007F161F" w:rsidP="007F161F">
      <w:pPr>
        <w:ind w:firstLine="720"/>
        <w:jc w:val="both"/>
        <w:rPr>
          <w:i/>
          <w:iCs/>
          <w:color w:val="000000" w:themeColor="text1"/>
          <w:sz w:val="22"/>
          <w:szCs w:val="22"/>
          <w:lang w:val="ro-RO"/>
        </w:rPr>
      </w:pPr>
      <w:r w:rsidRPr="00411A31">
        <w:rPr>
          <w:color w:val="000000" w:themeColor="text1"/>
          <w:sz w:val="22"/>
          <w:szCs w:val="22"/>
          <w:lang w:val="ro-RO"/>
        </w:rPr>
        <w:t xml:space="preserve">Art. 17, alin (4) din OUG 64/2022 prevede că </w:t>
      </w:r>
      <w:r w:rsidRPr="00411A31">
        <w:rPr>
          <w:i/>
          <w:iCs/>
          <w:color w:val="000000" w:themeColor="text1"/>
          <w:sz w:val="22"/>
          <w:szCs w:val="22"/>
          <w:lang w:val="ro-RO"/>
        </w:rPr>
        <w:t>rezerva de ajustare a valorii contractului de finanțare face parte din bugetul proiectului ca linie bugetară, se evidențiază distinct în bugetul proiectului ca linie bugetara....iar din aceasta se pot efectua plați numai pentru finanțarea ajustării de preț necesare contractelor de achiziții care stau la baza implementării proiectelor...</w:t>
      </w:r>
    </w:p>
    <w:p w:rsidR="007F161F" w:rsidRPr="00411A31" w:rsidRDefault="007F161F" w:rsidP="007F161F">
      <w:pPr>
        <w:ind w:firstLine="720"/>
        <w:jc w:val="both"/>
        <w:rPr>
          <w:color w:val="000000" w:themeColor="text1"/>
          <w:sz w:val="22"/>
          <w:szCs w:val="22"/>
          <w:lang w:val="ro-RO"/>
        </w:rPr>
      </w:pPr>
      <w:r w:rsidRPr="00411A31">
        <w:rPr>
          <w:sz w:val="22"/>
          <w:szCs w:val="22"/>
        </w:rPr>
        <w:t>Ținând cont de cele menționate mai sus a fost revizuit Devizul general al proiectului prin includerea rezervei de ajustare ca linie distinctă, în cadrul unui capitol nou, capitolul  7 “</w:t>
      </w:r>
      <w:r w:rsidRPr="00411A31">
        <w:rPr>
          <w:i/>
          <w:iCs/>
          <w:sz w:val="22"/>
          <w:szCs w:val="22"/>
        </w:rPr>
        <w:t>Rezerva de ajustare a valorii contractului de finan</w:t>
      </w:r>
      <w:r w:rsidRPr="00411A31">
        <w:rPr>
          <w:i/>
          <w:iCs/>
          <w:sz w:val="22"/>
          <w:szCs w:val="22"/>
          <w:lang w:val="ro-RO"/>
        </w:rPr>
        <w:t>ța</w:t>
      </w:r>
      <w:r w:rsidRPr="00411A31">
        <w:rPr>
          <w:i/>
          <w:iCs/>
          <w:sz w:val="22"/>
          <w:szCs w:val="22"/>
        </w:rPr>
        <w:t>re</w:t>
      </w:r>
      <w:r w:rsidRPr="00411A31">
        <w:rPr>
          <w:sz w:val="22"/>
          <w:szCs w:val="22"/>
        </w:rPr>
        <w:t xml:space="preserve">” în valoare de </w:t>
      </w:r>
      <w:r w:rsidRPr="00411A31">
        <w:rPr>
          <w:color w:val="000000"/>
          <w:sz w:val="22"/>
          <w:szCs w:val="22"/>
          <w:lang w:val="pt-PT"/>
        </w:rPr>
        <w:t>8.022.27</w:t>
      </w:r>
      <w:r w:rsidR="00336C4B">
        <w:rPr>
          <w:color w:val="000000"/>
          <w:sz w:val="22"/>
          <w:szCs w:val="22"/>
          <w:lang w:val="pt-PT"/>
        </w:rPr>
        <w:t>1</w:t>
      </w:r>
      <w:r w:rsidRPr="00411A31">
        <w:rPr>
          <w:color w:val="000000"/>
          <w:sz w:val="22"/>
          <w:szCs w:val="22"/>
          <w:lang w:val="pt-PT"/>
        </w:rPr>
        <w:t>,28 lei (fără TVA), respectiv valoarea de 9.546.50</w:t>
      </w:r>
      <w:r w:rsidR="00336C4B">
        <w:rPr>
          <w:color w:val="000000"/>
          <w:sz w:val="22"/>
          <w:szCs w:val="22"/>
          <w:lang w:val="pt-PT"/>
        </w:rPr>
        <w:t>2</w:t>
      </w:r>
      <w:r w:rsidRPr="00411A31">
        <w:rPr>
          <w:color w:val="000000"/>
          <w:sz w:val="22"/>
          <w:szCs w:val="22"/>
          <w:lang w:val="pt-PT"/>
        </w:rPr>
        <w:t>,</w:t>
      </w:r>
      <w:r w:rsidR="00336C4B">
        <w:rPr>
          <w:color w:val="000000"/>
          <w:sz w:val="22"/>
          <w:szCs w:val="22"/>
          <w:lang w:val="pt-PT"/>
        </w:rPr>
        <w:t>82</w:t>
      </w:r>
      <w:r w:rsidRPr="00411A31">
        <w:rPr>
          <w:color w:val="000000"/>
          <w:sz w:val="22"/>
          <w:szCs w:val="22"/>
          <w:lang w:val="pt-PT"/>
        </w:rPr>
        <w:t xml:space="preserve"> lei (inclusiv TVA), conform Anexei.</w:t>
      </w:r>
    </w:p>
    <w:p w:rsidR="007F161F" w:rsidRDefault="007F161F" w:rsidP="007F161F">
      <w:pPr>
        <w:autoSpaceDE w:val="0"/>
        <w:autoSpaceDN w:val="0"/>
        <w:adjustRightInd w:val="0"/>
        <w:ind w:firstLine="720"/>
        <w:jc w:val="both"/>
        <w:rPr>
          <w:sz w:val="22"/>
          <w:szCs w:val="22"/>
        </w:rPr>
      </w:pPr>
      <w:r w:rsidRPr="00411A31">
        <w:rPr>
          <w:sz w:val="22"/>
          <w:szCs w:val="22"/>
        </w:rPr>
        <w:t xml:space="preserve">După aprobarea Devizului general revizuit se vor întocmi documentele necesare redepunerii proiectului la </w:t>
      </w:r>
      <w:r w:rsidRPr="00411A31">
        <w:rPr>
          <w:iCs/>
          <w:sz w:val="22"/>
          <w:szCs w:val="22"/>
        </w:rPr>
        <w:t xml:space="preserve">Autoritatea de Management pentru Programul Operațional Infrastructură Mare, în vederea încheierii unui </w:t>
      </w:r>
      <w:r w:rsidRPr="00411A31">
        <w:rPr>
          <w:sz w:val="22"/>
          <w:szCs w:val="22"/>
        </w:rPr>
        <w:t xml:space="preserve">act adiţional la contractul de finanţare nr. </w:t>
      </w:r>
      <w:r w:rsidRPr="00411A31">
        <w:rPr>
          <w:sz w:val="22"/>
          <w:szCs w:val="22"/>
          <w:lang w:val="ro-RO"/>
        </w:rPr>
        <w:t>247/09.05.2019,</w:t>
      </w:r>
      <w:r w:rsidRPr="00411A31">
        <w:rPr>
          <w:sz w:val="22"/>
          <w:szCs w:val="22"/>
        </w:rPr>
        <w:t xml:space="preserve"> conform prevederilor art. 10 din contract. </w:t>
      </w:r>
    </w:p>
    <w:p w:rsidR="007717C0" w:rsidRPr="00DC224F" w:rsidRDefault="007717C0" w:rsidP="007717C0">
      <w:pPr>
        <w:pStyle w:val="sartttl"/>
        <w:spacing w:before="0" w:beforeAutospacing="0" w:after="0" w:afterAutospacing="0"/>
        <w:ind w:firstLine="720"/>
        <w:jc w:val="both"/>
        <w:rPr>
          <w:sz w:val="22"/>
          <w:szCs w:val="22"/>
        </w:rPr>
      </w:pPr>
      <w:r w:rsidRPr="00DC224F">
        <w:rPr>
          <w:bCs/>
          <w:color w:val="000000" w:themeColor="text1"/>
          <w:sz w:val="22"/>
          <w:szCs w:val="22"/>
        </w:rPr>
        <w:t>De asemenea, potrivit art. 16 alin. 1 din OUG nr. 64/2022:</w:t>
      </w:r>
      <w:r w:rsidRPr="00DC224F">
        <w:rPr>
          <w:sz w:val="22"/>
          <w:szCs w:val="22"/>
        </w:rPr>
        <w:t xml:space="preserve"> </w:t>
      </w:r>
      <w:r w:rsidRPr="00DC224F">
        <w:rPr>
          <w:rStyle w:val="salnbdy"/>
          <w:rFonts w:eastAsia="Calibri"/>
          <w:i/>
          <w:noProof/>
          <w:sz w:val="22"/>
          <w:szCs w:val="22"/>
        </w:rPr>
        <w:t>î</w:t>
      </w:r>
      <w:r w:rsidRPr="00DC224F">
        <w:rPr>
          <w:rStyle w:val="salnbdy"/>
          <w:i/>
          <w:noProof/>
          <w:sz w:val="22"/>
          <w:szCs w:val="22"/>
        </w:rPr>
        <w:t>n situaţia în care beneficiarii nu depun solicitări, în perioada de implementare a contractelor de finanţare, sumele necesare pentru ajustarea preţului contractelor de achiziţie/contractelor sectoriale/acordurilor-cadru se suportă în întregime de către beneficiari</w:t>
      </w:r>
      <w:r w:rsidRPr="00DC224F">
        <w:rPr>
          <w:rStyle w:val="salnbdy"/>
          <w:noProof/>
          <w:sz w:val="22"/>
          <w:szCs w:val="22"/>
        </w:rPr>
        <w:t>.</w:t>
      </w:r>
    </w:p>
    <w:p w:rsidR="007F161F" w:rsidRPr="00411A31" w:rsidRDefault="007F161F" w:rsidP="007F161F">
      <w:pPr>
        <w:autoSpaceDE w:val="0"/>
        <w:autoSpaceDN w:val="0"/>
        <w:adjustRightInd w:val="0"/>
        <w:ind w:firstLine="720"/>
        <w:jc w:val="both"/>
        <w:rPr>
          <w:sz w:val="22"/>
          <w:szCs w:val="22"/>
        </w:rPr>
      </w:pPr>
      <w:r w:rsidRPr="00411A31">
        <w:rPr>
          <w:sz w:val="22"/>
          <w:szCs w:val="22"/>
        </w:rPr>
        <w:t>Revizuirea valorii eligibile a proiectului este necesară în vederea asigur</w:t>
      </w:r>
      <w:r w:rsidR="00183061">
        <w:rPr>
          <w:sz w:val="22"/>
          <w:szCs w:val="22"/>
        </w:rPr>
        <w:t>ării</w:t>
      </w:r>
      <w:r w:rsidRPr="00411A31">
        <w:rPr>
          <w:sz w:val="22"/>
          <w:szCs w:val="22"/>
        </w:rPr>
        <w:t xml:space="preserve"> surselor de finanțare necesare decontărilor pentru ajustările de preț aferente contractelor atribuite în cadrul proiectului.</w:t>
      </w:r>
      <w:r w:rsidRPr="00411A31">
        <w:rPr>
          <w:color w:val="FF0000"/>
          <w:sz w:val="22"/>
          <w:szCs w:val="22"/>
        </w:rPr>
        <w:t xml:space="preserve"> </w:t>
      </w:r>
      <w:r w:rsidRPr="00411A31">
        <w:rPr>
          <w:sz w:val="22"/>
          <w:szCs w:val="22"/>
        </w:rPr>
        <w:t>Fără modificarea devizului general, revizuirea valorii eligibile și încheierea unui act adițional la contractul de finanțare, sumele necesare pentru ajustarea prețului contractelor de achiziție din cadrul proiectului nu vor putea fi solicitate la rambursare fiind considerate cheltuieli neeligibile și vor trebui suportate de la bugetul local.</w:t>
      </w:r>
    </w:p>
    <w:p w:rsidR="00200D23" w:rsidRPr="00411A31" w:rsidRDefault="00200D23" w:rsidP="002808E8">
      <w:pPr>
        <w:pStyle w:val="ListParagraph"/>
        <w:spacing w:after="0" w:line="240" w:lineRule="auto"/>
        <w:jc w:val="both"/>
        <w:rPr>
          <w:rFonts w:ascii="Times New Roman" w:hAnsi="Times New Roman"/>
          <w:b/>
          <w:spacing w:val="-1"/>
        </w:rPr>
      </w:pPr>
      <w:r w:rsidRPr="00411A31">
        <w:rPr>
          <w:rFonts w:ascii="Times New Roman" w:hAnsi="Times New Roman"/>
          <w:b/>
          <w:spacing w:val="-1"/>
        </w:rPr>
        <w:t>Concluzii</w:t>
      </w:r>
    </w:p>
    <w:p w:rsidR="00B039C6" w:rsidRPr="00411A31" w:rsidRDefault="00381033" w:rsidP="00E729DC">
      <w:pPr>
        <w:ind w:firstLine="720"/>
        <w:jc w:val="both"/>
        <w:rPr>
          <w:color w:val="000000" w:themeColor="text1"/>
          <w:spacing w:val="-20"/>
          <w:w w:val="105"/>
          <w:sz w:val="22"/>
          <w:szCs w:val="22"/>
          <w:lang w:val="ro-RO"/>
        </w:rPr>
      </w:pPr>
      <w:r w:rsidRPr="00411A31">
        <w:rPr>
          <w:sz w:val="22"/>
          <w:szCs w:val="22"/>
        </w:rPr>
        <w:t>C</w:t>
      </w:r>
      <w:r w:rsidRPr="00411A31">
        <w:rPr>
          <w:sz w:val="22"/>
          <w:szCs w:val="22"/>
          <w:lang w:eastAsia="ro-RO"/>
        </w:rPr>
        <w:t>onsider</w:t>
      </w:r>
      <w:r w:rsidR="00166232" w:rsidRPr="00411A31">
        <w:rPr>
          <w:sz w:val="22"/>
          <w:szCs w:val="22"/>
          <w:lang w:eastAsia="ro-RO"/>
        </w:rPr>
        <w:t>ăm</w:t>
      </w:r>
      <w:r w:rsidRPr="00411A31">
        <w:rPr>
          <w:sz w:val="22"/>
          <w:szCs w:val="22"/>
          <w:lang w:eastAsia="ro-RO"/>
        </w:rPr>
        <w:t xml:space="preserve"> necesar</w:t>
      </w:r>
      <w:r w:rsidR="00166232" w:rsidRPr="00411A31">
        <w:rPr>
          <w:sz w:val="22"/>
          <w:szCs w:val="22"/>
          <w:lang w:eastAsia="ro-RO"/>
        </w:rPr>
        <w:t>ă</w:t>
      </w:r>
      <w:r w:rsidRPr="00411A31">
        <w:rPr>
          <w:sz w:val="22"/>
          <w:szCs w:val="22"/>
          <w:lang w:eastAsia="ro-RO"/>
        </w:rPr>
        <w:t xml:space="preserve"> și oportun</w:t>
      </w:r>
      <w:r w:rsidR="00166232" w:rsidRPr="00411A31">
        <w:rPr>
          <w:sz w:val="22"/>
          <w:szCs w:val="22"/>
          <w:lang w:eastAsia="ro-RO"/>
        </w:rPr>
        <w:t>ă</w:t>
      </w:r>
      <w:r w:rsidRPr="00411A31">
        <w:rPr>
          <w:sz w:val="22"/>
          <w:szCs w:val="22"/>
          <w:lang w:eastAsia="ro-RO"/>
        </w:rPr>
        <w:t xml:space="preserve"> </w:t>
      </w:r>
      <w:r w:rsidRPr="00411A31">
        <w:rPr>
          <w:color w:val="000000"/>
          <w:spacing w:val="-2"/>
          <w:sz w:val="22"/>
          <w:szCs w:val="22"/>
        </w:rPr>
        <w:t>aprobarea</w:t>
      </w:r>
      <w:r w:rsidRPr="00411A31">
        <w:rPr>
          <w:sz w:val="22"/>
          <w:szCs w:val="22"/>
        </w:rPr>
        <w:t xml:space="preserve"> proiectului de hotărâre privind</w:t>
      </w:r>
      <w:r w:rsidRPr="00411A31">
        <w:rPr>
          <w:sz w:val="22"/>
          <w:szCs w:val="22"/>
          <w:lang w:val="ro-RO"/>
        </w:rPr>
        <w:t xml:space="preserve"> </w:t>
      </w:r>
      <w:r w:rsidR="00B039C6" w:rsidRPr="00411A31">
        <w:rPr>
          <w:bCs/>
          <w:sz w:val="22"/>
          <w:szCs w:val="22"/>
        </w:rPr>
        <w:t>aprobarea valorii totale a proiectului</w:t>
      </w:r>
      <w:r w:rsidR="00B039C6" w:rsidRPr="00411A31">
        <w:rPr>
          <w:bCs/>
          <w:color w:val="000000"/>
          <w:sz w:val="22"/>
          <w:szCs w:val="22"/>
        </w:rPr>
        <w:t xml:space="preserve"> “Retehnologizarea sistemului centralizat de termoficare din Municipiul Timişoara în vederea conformării la normele de protecţia mediului privind emisiile poluante în aer şi pentru creşterea eficienţei in alimentarea cu căldură urbană - Etapa a II-a”  aprobată prin HCL nr. 490/19.10.2018, modificată prin HCL</w:t>
      </w:r>
      <w:r w:rsidR="007F161F" w:rsidRPr="00411A31">
        <w:rPr>
          <w:bCs/>
          <w:color w:val="000000"/>
          <w:sz w:val="22"/>
          <w:szCs w:val="22"/>
        </w:rPr>
        <w:t xml:space="preserve"> nr. </w:t>
      </w:r>
      <w:r w:rsidR="00B039C6" w:rsidRPr="00411A31">
        <w:rPr>
          <w:bCs/>
          <w:color w:val="000000"/>
          <w:sz w:val="22"/>
          <w:szCs w:val="22"/>
        </w:rPr>
        <w:t xml:space="preserve">277/14.06.2022, aprobarea </w:t>
      </w:r>
      <w:r w:rsidR="00B039C6" w:rsidRPr="00411A31">
        <w:rPr>
          <w:rStyle w:val="rezumat1"/>
          <w:rFonts w:eastAsia="Calibri"/>
          <w:color w:val="000000"/>
          <w:sz w:val="22"/>
          <w:szCs w:val="22"/>
        </w:rPr>
        <w:t xml:space="preserve">rezervei de implementare pentru reechilibrarea contractelor de execuție și proiectare lucrări aferente proiectului, precum și aprobarea revizuirii </w:t>
      </w:r>
      <w:r w:rsidR="00B039C6" w:rsidRPr="00411A31">
        <w:rPr>
          <w:rFonts w:eastAsiaTheme="minorHAnsi"/>
          <w:color w:val="000000"/>
          <w:sz w:val="22"/>
          <w:szCs w:val="22"/>
          <w:lang w:val="ro-RO"/>
        </w:rPr>
        <w:t xml:space="preserve">Devizului General aferent proiectului </w:t>
      </w:r>
      <w:r w:rsidR="00B039C6" w:rsidRPr="00411A31">
        <w:rPr>
          <w:bCs/>
          <w:sz w:val="22"/>
          <w:szCs w:val="22"/>
          <w:lang w:val="ro-RO"/>
        </w:rPr>
        <w:t xml:space="preserve">actualizat prin </w:t>
      </w:r>
      <w:r w:rsidR="00B039C6" w:rsidRPr="00411A31">
        <w:rPr>
          <w:bCs/>
          <w:color w:val="000000" w:themeColor="text1"/>
          <w:sz w:val="22"/>
          <w:szCs w:val="22"/>
          <w:lang w:val="ro-RO"/>
        </w:rPr>
        <w:t xml:space="preserve">HCL </w:t>
      </w:r>
      <w:r w:rsidR="00411A31" w:rsidRPr="00411A31">
        <w:rPr>
          <w:bCs/>
          <w:color w:val="000000" w:themeColor="text1"/>
          <w:sz w:val="22"/>
          <w:szCs w:val="22"/>
          <w:lang w:val="ro-RO"/>
        </w:rPr>
        <w:t xml:space="preserve">nr. </w:t>
      </w:r>
      <w:r w:rsidR="00B039C6" w:rsidRPr="00411A31">
        <w:rPr>
          <w:bCs/>
          <w:color w:val="000000" w:themeColor="text1"/>
          <w:sz w:val="22"/>
          <w:szCs w:val="22"/>
          <w:lang w:val="ro-RO"/>
        </w:rPr>
        <w:t xml:space="preserve">202/25.05.2021, HCL </w:t>
      </w:r>
      <w:r w:rsidR="00411A31" w:rsidRPr="00411A31">
        <w:rPr>
          <w:bCs/>
          <w:color w:val="000000" w:themeColor="text1"/>
          <w:sz w:val="22"/>
          <w:szCs w:val="22"/>
          <w:lang w:val="ro-RO"/>
        </w:rPr>
        <w:t xml:space="preserve">nr. </w:t>
      </w:r>
      <w:r w:rsidR="00B039C6" w:rsidRPr="00411A31">
        <w:rPr>
          <w:bCs/>
          <w:color w:val="000000" w:themeColor="text1"/>
          <w:sz w:val="22"/>
          <w:szCs w:val="22"/>
          <w:lang w:val="ro-RO"/>
        </w:rPr>
        <w:t>346/28.09.2021,  HCL</w:t>
      </w:r>
      <w:r w:rsidR="00411A31" w:rsidRPr="00411A31">
        <w:rPr>
          <w:bCs/>
          <w:color w:val="000000" w:themeColor="text1"/>
          <w:sz w:val="22"/>
          <w:szCs w:val="22"/>
          <w:lang w:val="ro-RO"/>
        </w:rPr>
        <w:t xml:space="preserve"> nr. </w:t>
      </w:r>
      <w:r w:rsidR="00B039C6" w:rsidRPr="00411A31">
        <w:rPr>
          <w:bCs/>
          <w:color w:val="000000" w:themeColor="text1"/>
          <w:sz w:val="22"/>
          <w:szCs w:val="22"/>
          <w:lang w:val="ro-RO"/>
        </w:rPr>
        <w:t>7/11.01.2022 și HCL</w:t>
      </w:r>
      <w:r w:rsidR="00411A31" w:rsidRPr="00411A31">
        <w:rPr>
          <w:bCs/>
          <w:color w:val="000000" w:themeColor="text1"/>
          <w:sz w:val="22"/>
          <w:szCs w:val="22"/>
          <w:lang w:val="ro-RO"/>
        </w:rPr>
        <w:t xml:space="preserve"> nr. </w:t>
      </w:r>
      <w:r w:rsidR="00B039C6" w:rsidRPr="00411A31">
        <w:rPr>
          <w:bCs/>
          <w:color w:val="000000" w:themeColor="text1"/>
          <w:sz w:val="22"/>
          <w:szCs w:val="22"/>
          <w:lang w:val="ro-RO"/>
        </w:rPr>
        <w:t>428/30.08.2022</w:t>
      </w:r>
      <w:r w:rsidR="00411A31">
        <w:rPr>
          <w:bCs/>
          <w:color w:val="000000" w:themeColor="text1"/>
          <w:sz w:val="22"/>
          <w:szCs w:val="22"/>
          <w:lang w:val="ro-RO"/>
        </w:rPr>
        <w:t>.</w:t>
      </w:r>
    </w:p>
    <w:p w:rsidR="00302743" w:rsidRPr="00411A31" w:rsidRDefault="00302743" w:rsidP="00B039C6">
      <w:pPr>
        <w:autoSpaceDE w:val="0"/>
        <w:autoSpaceDN w:val="0"/>
        <w:adjustRightInd w:val="0"/>
        <w:ind w:firstLine="720"/>
        <w:jc w:val="both"/>
        <w:rPr>
          <w:rStyle w:val="Strong"/>
          <w:b w:val="0"/>
          <w:bCs w:val="0"/>
          <w:color w:val="000000" w:themeColor="text1"/>
          <w:sz w:val="22"/>
          <w:szCs w:val="22"/>
          <w:lang w:val="ro-RO"/>
        </w:rPr>
      </w:pPr>
    </w:p>
    <w:p w:rsidR="00471AE7" w:rsidRPr="00411A31" w:rsidRDefault="00471AE7" w:rsidP="00EE7883">
      <w:pPr>
        <w:ind w:firstLine="720"/>
        <w:jc w:val="both"/>
        <w:rPr>
          <w:rStyle w:val="Strong"/>
          <w:b w:val="0"/>
          <w:sz w:val="22"/>
          <w:szCs w:val="22"/>
          <w:lang w:val="ro-RO"/>
        </w:rPr>
      </w:pPr>
    </w:p>
    <w:tbl>
      <w:tblPr>
        <w:tblW w:w="9530" w:type="dxa"/>
        <w:tblLook w:val="01E0"/>
      </w:tblPr>
      <w:tblGrid>
        <w:gridCol w:w="9530"/>
      </w:tblGrid>
      <w:tr w:rsidR="00302743" w:rsidRPr="00411A31" w:rsidTr="00984E50">
        <w:tc>
          <w:tcPr>
            <w:tcW w:w="9530" w:type="dxa"/>
            <w:vAlign w:val="center"/>
          </w:tcPr>
          <w:p w:rsidR="00302743" w:rsidRPr="00411A31" w:rsidRDefault="00411A31" w:rsidP="00984E50">
            <w:pPr>
              <w:ind w:right="-22"/>
              <w:jc w:val="center"/>
            </w:pPr>
            <w:bookmarkStart w:id="0" w:name="_GoBack"/>
            <w:bookmarkEnd w:id="0"/>
            <w:r>
              <w:rPr>
                <w:sz w:val="22"/>
                <w:szCs w:val="22"/>
              </w:rPr>
              <w:t>P</w:t>
            </w:r>
            <w:r w:rsidRPr="00411A31">
              <w:rPr>
                <w:sz w:val="22"/>
                <w:szCs w:val="22"/>
              </w:rPr>
              <w:t>rimar,</w:t>
            </w:r>
          </w:p>
        </w:tc>
      </w:tr>
      <w:tr w:rsidR="00302743" w:rsidRPr="00411A31" w:rsidTr="00984E50">
        <w:tc>
          <w:tcPr>
            <w:tcW w:w="9530" w:type="dxa"/>
            <w:vAlign w:val="center"/>
          </w:tcPr>
          <w:p w:rsidR="00302743" w:rsidRPr="00411A31" w:rsidRDefault="00411A31" w:rsidP="00984E50">
            <w:pPr>
              <w:ind w:right="-22"/>
              <w:jc w:val="center"/>
            </w:pPr>
            <w:r>
              <w:rPr>
                <w:sz w:val="22"/>
                <w:szCs w:val="22"/>
              </w:rPr>
              <w:t>Dominic F</w:t>
            </w:r>
            <w:r w:rsidRPr="00411A31">
              <w:rPr>
                <w:sz w:val="22"/>
                <w:szCs w:val="22"/>
              </w:rPr>
              <w:t>ritz</w:t>
            </w:r>
          </w:p>
          <w:p w:rsidR="001D3E69" w:rsidRPr="00411A31" w:rsidRDefault="001D3E69" w:rsidP="00984E50">
            <w:pPr>
              <w:ind w:right="-22"/>
              <w:jc w:val="center"/>
              <w:rPr>
                <w:i/>
              </w:rPr>
            </w:pPr>
          </w:p>
          <w:p w:rsidR="009A7D08" w:rsidRPr="00411A31" w:rsidRDefault="009A7D08" w:rsidP="00984E50">
            <w:pPr>
              <w:ind w:right="-22"/>
              <w:jc w:val="center"/>
              <w:rPr>
                <w:i/>
              </w:rPr>
            </w:pPr>
          </w:p>
          <w:p w:rsidR="00412072" w:rsidRPr="00411A31" w:rsidRDefault="00411A31" w:rsidP="00984E50">
            <w:pPr>
              <w:ind w:right="-22"/>
              <w:jc w:val="center"/>
            </w:pPr>
            <w:r>
              <w:rPr>
                <w:sz w:val="22"/>
                <w:szCs w:val="22"/>
              </w:rPr>
              <w:t>Viceprimar</w:t>
            </w:r>
            <w:r w:rsidRPr="00411A31">
              <w:rPr>
                <w:sz w:val="22"/>
                <w:szCs w:val="22"/>
              </w:rPr>
              <w:t>,</w:t>
            </w:r>
          </w:p>
          <w:p w:rsidR="00D1738E" w:rsidRPr="00411A31" w:rsidRDefault="00411A31" w:rsidP="00984E50">
            <w:pPr>
              <w:ind w:right="-22"/>
              <w:jc w:val="center"/>
              <w:rPr>
                <w:lang w:val="ro-RO"/>
              </w:rPr>
            </w:pPr>
            <w:r>
              <w:rPr>
                <w:sz w:val="22"/>
                <w:szCs w:val="22"/>
              </w:rPr>
              <w:t>Ruben Lațcău</w:t>
            </w:r>
          </w:p>
          <w:p w:rsidR="008E2EB6" w:rsidRPr="00411A31" w:rsidRDefault="00411A31" w:rsidP="008E2EB6">
            <w:pPr>
              <w:ind w:right="-22"/>
              <w:jc w:val="center"/>
            </w:pPr>
            <w:r w:rsidRPr="00411A31">
              <w:rPr>
                <w:sz w:val="22"/>
                <w:szCs w:val="22"/>
              </w:rPr>
              <w:t xml:space="preserve">  </w:t>
            </w:r>
          </w:p>
          <w:p w:rsidR="001D3E69" w:rsidRPr="00411A31" w:rsidRDefault="001D3E69" w:rsidP="00984E50">
            <w:pPr>
              <w:ind w:right="-22"/>
              <w:jc w:val="cente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411A31" w:rsidRPr="003A56B4" w:rsidTr="007717C0">
        <w:tc>
          <w:tcPr>
            <w:tcW w:w="9622" w:type="dxa"/>
          </w:tcPr>
          <w:p w:rsidR="00411A31" w:rsidRPr="003A56B4" w:rsidRDefault="00411A31" w:rsidP="00727A62">
            <w:pPr>
              <w:jc w:val="center"/>
              <w:rPr>
                <w:lang w:val="ro-RO"/>
              </w:rPr>
            </w:pPr>
            <w:r>
              <w:rPr>
                <w:lang w:val="ro-RO"/>
              </w:rPr>
              <w:t>Director G</w:t>
            </w:r>
            <w:r w:rsidRPr="003A56B4">
              <w:rPr>
                <w:lang w:val="ro-RO"/>
              </w:rPr>
              <w:t>eneral,</w:t>
            </w:r>
          </w:p>
        </w:tc>
      </w:tr>
      <w:tr w:rsidR="00411A31" w:rsidRPr="003A56B4" w:rsidTr="007717C0">
        <w:tc>
          <w:tcPr>
            <w:tcW w:w="9622" w:type="dxa"/>
          </w:tcPr>
          <w:p w:rsidR="00411A31" w:rsidRPr="003A56B4" w:rsidRDefault="00411A31" w:rsidP="00727A62">
            <w:pPr>
              <w:jc w:val="center"/>
              <w:rPr>
                <w:lang w:val="ro-RO"/>
              </w:rPr>
            </w:pPr>
            <w:r>
              <w:rPr>
                <w:lang w:val="ro-RO"/>
              </w:rPr>
              <w:t>Mihai F</w:t>
            </w:r>
            <w:r w:rsidRPr="003A56B4">
              <w:rPr>
                <w:lang w:val="ro-RO"/>
              </w:rPr>
              <w:t>lorescu</w:t>
            </w:r>
          </w:p>
        </w:tc>
      </w:tr>
    </w:tbl>
    <w:p w:rsidR="008342A3" w:rsidRPr="00411A31" w:rsidRDefault="008342A3" w:rsidP="001D3E69">
      <w:pPr>
        <w:jc w:val="both"/>
        <w:rPr>
          <w:color w:val="000000"/>
          <w:spacing w:val="-1"/>
          <w:sz w:val="22"/>
          <w:szCs w:val="22"/>
        </w:rPr>
      </w:pPr>
    </w:p>
    <w:p w:rsidR="008342A3" w:rsidRPr="00411A31" w:rsidRDefault="008342A3" w:rsidP="001D3E69">
      <w:pPr>
        <w:jc w:val="both"/>
        <w:rPr>
          <w:color w:val="000000"/>
          <w:spacing w:val="-1"/>
          <w:sz w:val="22"/>
          <w:szCs w:val="22"/>
        </w:rPr>
      </w:pPr>
    </w:p>
    <w:p w:rsidR="001B5655" w:rsidRPr="00411A31" w:rsidRDefault="009A7D08" w:rsidP="00302743">
      <w:pPr>
        <w:jc w:val="both"/>
        <w:rPr>
          <w:sz w:val="16"/>
          <w:szCs w:val="16"/>
        </w:rPr>
      </w:pPr>
      <w:r w:rsidRPr="00411A31">
        <w:rPr>
          <w:sz w:val="22"/>
          <w:szCs w:val="22"/>
          <w:lang w:val="ro-RO"/>
        </w:rPr>
        <w:t xml:space="preserve">             </w:t>
      </w:r>
      <w:r w:rsidRPr="00411A31">
        <w:rPr>
          <w:sz w:val="22"/>
          <w:szCs w:val="22"/>
          <w:lang w:val="ro-RO"/>
        </w:rPr>
        <w:tab/>
      </w:r>
      <w:r w:rsidRPr="00411A31">
        <w:rPr>
          <w:sz w:val="22"/>
          <w:szCs w:val="22"/>
          <w:lang w:val="ro-RO"/>
        </w:rPr>
        <w:tab/>
      </w:r>
      <w:r w:rsidRPr="00411A31">
        <w:rPr>
          <w:sz w:val="22"/>
          <w:szCs w:val="22"/>
          <w:lang w:val="ro-RO"/>
        </w:rPr>
        <w:tab/>
      </w:r>
      <w:r w:rsidRPr="00411A31">
        <w:rPr>
          <w:sz w:val="22"/>
          <w:szCs w:val="22"/>
          <w:lang w:val="ro-RO"/>
        </w:rPr>
        <w:tab/>
      </w:r>
      <w:r w:rsidRPr="00411A31">
        <w:rPr>
          <w:sz w:val="22"/>
          <w:szCs w:val="22"/>
          <w:lang w:val="ro-RO"/>
        </w:rPr>
        <w:tab/>
      </w:r>
      <w:r w:rsidRPr="00411A31">
        <w:rPr>
          <w:sz w:val="22"/>
          <w:szCs w:val="22"/>
          <w:lang w:val="ro-RO"/>
        </w:rPr>
        <w:tab/>
      </w:r>
      <w:r w:rsidRPr="00411A31">
        <w:rPr>
          <w:sz w:val="22"/>
          <w:szCs w:val="22"/>
          <w:lang w:val="ro-RO"/>
        </w:rPr>
        <w:tab/>
      </w:r>
      <w:r w:rsidRPr="00411A31">
        <w:rPr>
          <w:sz w:val="22"/>
          <w:szCs w:val="22"/>
          <w:lang w:val="ro-RO"/>
        </w:rPr>
        <w:tab/>
      </w:r>
      <w:r w:rsidRPr="00411A31">
        <w:rPr>
          <w:sz w:val="22"/>
          <w:szCs w:val="22"/>
          <w:lang w:val="ro-RO"/>
        </w:rPr>
        <w:tab/>
      </w:r>
      <w:r w:rsidR="00411A31">
        <w:rPr>
          <w:sz w:val="22"/>
          <w:szCs w:val="22"/>
          <w:lang w:val="ro-RO"/>
        </w:rPr>
        <w:t xml:space="preserve">                        </w:t>
      </w:r>
      <w:r w:rsidRPr="00411A31">
        <w:rPr>
          <w:sz w:val="22"/>
          <w:szCs w:val="22"/>
          <w:lang w:val="ro-RO"/>
        </w:rPr>
        <w:t xml:space="preserve"> </w:t>
      </w:r>
      <w:r w:rsidRPr="00411A31">
        <w:rPr>
          <w:sz w:val="16"/>
          <w:szCs w:val="16"/>
          <w:lang w:val="ro-RO"/>
        </w:rPr>
        <w:t>Cod FO53-03,Ver.3</w:t>
      </w:r>
    </w:p>
    <w:sectPr w:rsidR="001B5655" w:rsidRPr="00411A31" w:rsidSect="001B5655">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74B" w:rsidRDefault="0066574B" w:rsidP="00D55BD9">
      <w:r>
        <w:separator/>
      </w:r>
    </w:p>
  </w:endnote>
  <w:endnote w:type="continuationSeparator" w:id="1">
    <w:p w:rsidR="0066574B" w:rsidRDefault="0066574B" w:rsidP="00D5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74B" w:rsidRDefault="0066574B" w:rsidP="00D55BD9">
      <w:r>
        <w:separator/>
      </w:r>
    </w:p>
  </w:footnote>
  <w:footnote w:type="continuationSeparator" w:id="1">
    <w:p w:rsidR="0066574B" w:rsidRDefault="0066574B" w:rsidP="00D55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45C47"/>
    <w:multiLevelType w:val="hybridMultilevel"/>
    <w:tmpl w:val="B3428446"/>
    <w:lvl w:ilvl="0" w:tplc="F290FDCA">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CC539B"/>
    <w:multiLevelType w:val="hybridMultilevel"/>
    <w:tmpl w:val="93FE19CA"/>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200D23"/>
    <w:rsid w:val="0000038E"/>
    <w:rsid w:val="00015166"/>
    <w:rsid w:val="000151A0"/>
    <w:rsid w:val="000254D4"/>
    <w:rsid w:val="0002731E"/>
    <w:rsid w:val="000355D5"/>
    <w:rsid w:val="00093958"/>
    <w:rsid w:val="00094576"/>
    <w:rsid w:val="000A3699"/>
    <w:rsid w:val="000C41AF"/>
    <w:rsid w:val="000E00FA"/>
    <w:rsid w:val="0012212D"/>
    <w:rsid w:val="00124BC4"/>
    <w:rsid w:val="00166232"/>
    <w:rsid w:val="00176F0B"/>
    <w:rsid w:val="00183061"/>
    <w:rsid w:val="001915F7"/>
    <w:rsid w:val="0019677E"/>
    <w:rsid w:val="001A78D6"/>
    <w:rsid w:val="001B5655"/>
    <w:rsid w:val="001D3686"/>
    <w:rsid w:val="001D3E69"/>
    <w:rsid w:val="001D7921"/>
    <w:rsid w:val="00200D23"/>
    <w:rsid w:val="00215F69"/>
    <w:rsid w:val="00223E5A"/>
    <w:rsid w:val="00261357"/>
    <w:rsid w:val="002808E8"/>
    <w:rsid w:val="00296D82"/>
    <w:rsid w:val="002B1E26"/>
    <w:rsid w:val="00302743"/>
    <w:rsid w:val="00336C4B"/>
    <w:rsid w:val="0038013B"/>
    <w:rsid w:val="00381033"/>
    <w:rsid w:val="00393A38"/>
    <w:rsid w:val="003F0B88"/>
    <w:rsid w:val="003F43C9"/>
    <w:rsid w:val="00411A31"/>
    <w:rsid w:val="00412072"/>
    <w:rsid w:val="004672A9"/>
    <w:rsid w:val="00471AE7"/>
    <w:rsid w:val="00477423"/>
    <w:rsid w:val="004A2F4E"/>
    <w:rsid w:val="004A66AE"/>
    <w:rsid w:val="004C63B2"/>
    <w:rsid w:val="004D1862"/>
    <w:rsid w:val="0051209F"/>
    <w:rsid w:val="00516921"/>
    <w:rsid w:val="00517FA0"/>
    <w:rsid w:val="00540348"/>
    <w:rsid w:val="005843F4"/>
    <w:rsid w:val="005E4CC8"/>
    <w:rsid w:val="00614082"/>
    <w:rsid w:val="00621B9A"/>
    <w:rsid w:val="006533C8"/>
    <w:rsid w:val="0066574B"/>
    <w:rsid w:val="00760CB0"/>
    <w:rsid w:val="007717C0"/>
    <w:rsid w:val="007C2220"/>
    <w:rsid w:val="007C37C9"/>
    <w:rsid w:val="007D549D"/>
    <w:rsid w:val="007F161F"/>
    <w:rsid w:val="00803FFD"/>
    <w:rsid w:val="008236C5"/>
    <w:rsid w:val="00824C10"/>
    <w:rsid w:val="0083053B"/>
    <w:rsid w:val="008342A3"/>
    <w:rsid w:val="008469E8"/>
    <w:rsid w:val="0085390D"/>
    <w:rsid w:val="008873B5"/>
    <w:rsid w:val="008D2C1E"/>
    <w:rsid w:val="008E2EB6"/>
    <w:rsid w:val="00912DC4"/>
    <w:rsid w:val="00934E5F"/>
    <w:rsid w:val="0095481A"/>
    <w:rsid w:val="009A7D08"/>
    <w:rsid w:val="00A358E5"/>
    <w:rsid w:val="00AB7120"/>
    <w:rsid w:val="00AC4CAF"/>
    <w:rsid w:val="00AD1F33"/>
    <w:rsid w:val="00B039C6"/>
    <w:rsid w:val="00B578BC"/>
    <w:rsid w:val="00B71445"/>
    <w:rsid w:val="00BA45D4"/>
    <w:rsid w:val="00C1045D"/>
    <w:rsid w:val="00C20156"/>
    <w:rsid w:val="00C9557F"/>
    <w:rsid w:val="00CA4EEA"/>
    <w:rsid w:val="00CE637D"/>
    <w:rsid w:val="00D07284"/>
    <w:rsid w:val="00D16809"/>
    <w:rsid w:val="00D1738E"/>
    <w:rsid w:val="00D351B3"/>
    <w:rsid w:val="00D47BBA"/>
    <w:rsid w:val="00D55BD9"/>
    <w:rsid w:val="00DF29AE"/>
    <w:rsid w:val="00E11DEE"/>
    <w:rsid w:val="00E15740"/>
    <w:rsid w:val="00E729DC"/>
    <w:rsid w:val="00E80A3E"/>
    <w:rsid w:val="00E90606"/>
    <w:rsid w:val="00EC7B2E"/>
    <w:rsid w:val="00EE7883"/>
    <w:rsid w:val="00EE78D2"/>
    <w:rsid w:val="00F14D50"/>
    <w:rsid w:val="00F306F6"/>
    <w:rsid w:val="00F93FD1"/>
    <w:rsid w:val="00FA68A0"/>
    <w:rsid w:val="00FB4DE9"/>
    <w:rsid w:val="00FC4D67"/>
    <w:rsid w:val="00FF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BD9"/>
    <w:pPr>
      <w:tabs>
        <w:tab w:val="center" w:pos="4513"/>
        <w:tab w:val="right" w:pos="9026"/>
      </w:tabs>
    </w:pPr>
  </w:style>
  <w:style w:type="character" w:customStyle="1" w:styleId="HeaderChar">
    <w:name w:val="Header Char"/>
    <w:basedOn w:val="DefaultParagraphFont"/>
    <w:link w:val="Header"/>
    <w:uiPriority w:val="99"/>
    <w:rsid w:val="00D55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D9"/>
    <w:pPr>
      <w:tabs>
        <w:tab w:val="center" w:pos="4513"/>
        <w:tab w:val="right" w:pos="9026"/>
      </w:tabs>
    </w:pPr>
  </w:style>
  <w:style w:type="character" w:customStyle="1" w:styleId="FooterChar">
    <w:name w:val="Footer Char"/>
    <w:basedOn w:val="DefaultParagraphFont"/>
    <w:link w:val="Footer"/>
    <w:uiPriority w:val="99"/>
    <w:rsid w:val="00D55BD9"/>
    <w:rPr>
      <w:rFonts w:ascii="Times New Roman" w:eastAsia="Times New Roman" w:hAnsi="Times New Roman" w:cs="Times New Roman"/>
      <w:sz w:val="24"/>
      <w:szCs w:val="24"/>
    </w:rPr>
  </w:style>
  <w:style w:type="character" w:customStyle="1" w:styleId="salnbdy">
    <w:name w:val="s_aln_bdy"/>
    <w:basedOn w:val="DefaultParagraphFont"/>
    <w:rsid w:val="000151A0"/>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3F0B88"/>
    <w:rPr>
      <w:rFonts w:ascii="Calibri" w:eastAsia="Calibri" w:hAnsi="Calibri" w:cs="Times New Roman"/>
      <w:lang w:val="ro-RO"/>
    </w:rPr>
  </w:style>
  <w:style w:type="character" w:customStyle="1" w:styleId="rezumat1">
    <w:name w:val="rezumat_1"/>
    <w:basedOn w:val="DefaultParagraphFont"/>
    <w:rsid w:val="00B039C6"/>
  </w:style>
  <w:style w:type="character" w:styleId="Hyperlink">
    <w:name w:val="Hyperlink"/>
    <w:uiPriority w:val="99"/>
    <w:rsid w:val="00B039C6"/>
    <w:rPr>
      <w:color w:val="0000FF"/>
      <w:u w:val="single"/>
    </w:rPr>
  </w:style>
  <w:style w:type="character" w:customStyle="1" w:styleId="slgi1">
    <w:name w:val="s_lgi1"/>
    <w:rsid w:val="00B039C6"/>
    <w:rPr>
      <w:rFonts w:ascii="Verdana" w:hAnsi="Verdana" w:hint="default"/>
      <w:b w:val="0"/>
      <w:bCs w:val="0"/>
      <w:color w:val="006400"/>
      <w:sz w:val="16"/>
      <w:szCs w:val="16"/>
      <w:u w:val="single"/>
      <w:shd w:val="clear" w:color="auto" w:fill="FFFFFF"/>
    </w:rPr>
  </w:style>
  <w:style w:type="paragraph" w:customStyle="1" w:styleId="sartttl">
    <w:name w:val="s_art_ttl"/>
    <w:basedOn w:val="Normal"/>
    <w:rsid w:val="007717C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legis/oficiale/index/act/473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legis/oficiale/index/act/186607" TargetMode="External"/><Relationship Id="rId5" Type="http://schemas.openxmlformats.org/officeDocument/2006/relationships/webSettings" Target="webSettings.xml"/><Relationship Id="rId10" Type="http://schemas.openxmlformats.org/officeDocument/2006/relationships/hyperlink" Target="../../../ilegis/oficiale/index/act/180888" TargetMode="External"/><Relationship Id="rId4" Type="http://schemas.openxmlformats.org/officeDocument/2006/relationships/settings" Target="settings.xml"/><Relationship Id="rId9" Type="http://schemas.openxmlformats.org/officeDocument/2006/relationships/hyperlink" Target="../../../ilegis/oficiale/index/act/47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569C-856C-4AF3-8ADC-D81E9934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11</cp:revision>
  <cp:lastPrinted>2022-12-08T09:44:00Z</cp:lastPrinted>
  <dcterms:created xsi:type="dcterms:W3CDTF">2022-12-08T07:44:00Z</dcterms:created>
  <dcterms:modified xsi:type="dcterms:W3CDTF">2022-12-08T09:45:00Z</dcterms:modified>
</cp:coreProperties>
</file>