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240"/>
        <w:gridCol w:w="1260"/>
      </w:tblGrid>
      <w:tr w:rsidR="00326D50" w:rsidRPr="00934E38" w:rsidTr="00495EA3">
        <w:trPr>
          <w:trHeight w:val="1435"/>
          <w:jc w:val="center"/>
        </w:trPr>
        <w:tc>
          <w:tcPr>
            <w:tcW w:w="6899" w:type="dxa"/>
            <w:tcBorders>
              <w:bottom w:val="single" w:sz="4" w:space="0" w:color="auto"/>
            </w:tcBorders>
            <w:shd w:val="clear" w:color="auto" w:fill="auto"/>
          </w:tcPr>
          <w:p w:rsidR="00326D50" w:rsidRPr="00934E38" w:rsidRDefault="00326D50" w:rsidP="00B12A00">
            <w:pPr>
              <w:jc w:val="both"/>
              <w:rPr>
                <w:sz w:val="22"/>
                <w:szCs w:val="22"/>
                <w:lang w:val="ro-RO"/>
              </w:rPr>
            </w:pPr>
            <w:r w:rsidRPr="00934E38">
              <w:rPr>
                <w:sz w:val="22"/>
                <w:szCs w:val="22"/>
                <w:lang w:val="ro-RO"/>
              </w:rPr>
              <w:t xml:space="preserve">ROMÂNIA </w:t>
            </w:r>
          </w:p>
          <w:p w:rsidR="00326D50" w:rsidRPr="00934E38" w:rsidRDefault="00326D50" w:rsidP="00B12A00">
            <w:pPr>
              <w:jc w:val="both"/>
              <w:rPr>
                <w:sz w:val="22"/>
                <w:szCs w:val="22"/>
                <w:lang w:val="ro-RO"/>
              </w:rPr>
            </w:pPr>
            <w:r w:rsidRPr="00934E38">
              <w:rPr>
                <w:sz w:val="22"/>
                <w:szCs w:val="22"/>
                <w:lang w:val="ro-RO"/>
              </w:rPr>
              <w:t>JUDEŢUL TIMIŞ</w:t>
            </w:r>
          </w:p>
          <w:p w:rsidR="00326D50" w:rsidRPr="00934E38" w:rsidRDefault="00326D50" w:rsidP="00B12A00">
            <w:pPr>
              <w:jc w:val="both"/>
              <w:rPr>
                <w:sz w:val="22"/>
                <w:szCs w:val="22"/>
                <w:lang w:val="ro-RO"/>
              </w:rPr>
            </w:pPr>
            <w:r w:rsidRPr="00934E38">
              <w:rPr>
                <w:sz w:val="22"/>
                <w:szCs w:val="22"/>
                <w:lang w:val="ro-RO"/>
              </w:rPr>
              <w:t>MUNICIPIUL TIMIŞOARA</w:t>
            </w:r>
          </w:p>
          <w:p w:rsidR="00A13DD7" w:rsidRPr="00934E38" w:rsidRDefault="00C03AC2" w:rsidP="00A13DD7">
            <w:pPr>
              <w:rPr>
                <w:bCs/>
                <w:sz w:val="24"/>
                <w:szCs w:val="24"/>
              </w:rPr>
            </w:pPr>
            <w:r w:rsidRPr="00934E38">
              <w:rPr>
                <w:sz w:val="22"/>
                <w:szCs w:val="22"/>
                <w:lang w:val="ro-RO"/>
              </w:rPr>
              <w:t>DIRECŢIA GENERALĂ D.P.P.R.U.</w:t>
            </w:r>
          </w:p>
          <w:p w:rsidR="00326D50" w:rsidRPr="00934E38" w:rsidRDefault="00326D50" w:rsidP="00F37C63">
            <w:pPr>
              <w:jc w:val="both"/>
              <w:rPr>
                <w:sz w:val="22"/>
                <w:szCs w:val="22"/>
                <w:lang w:val="ro-RO"/>
              </w:rPr>
            </w:pPr>
            <w:r w:rsidRPr="00934E38">
              <w:rPr>
                <w:sz w:val="22"/>
                <w:szCs w:val="22"/>
                <w:lang w:val="ro-RO"/>
              </w:rPr>
              <w:t>SC20</w:t>
            </w:r>
            <w:r w:rsidR="002735DD" w:rsidRPr="00934E38">
              <w:rPr>
                <w:sz w:val="22"/>
                <w:szCs w:val="22"/>
                <w:lang w:val="ro-RO"/>
              </w:rPr>
              <w:t>2</w:t>
            </w:r>
            <w:r w:rsidR="000A1456" w:rsidRPr="00934E38">
              <w:rPr>
                <w:sz w:val="22"/>
                <w:szCs w:val="22"/>
                <w:lang w:val="ro-RO"/>
              </w:rPr>
              <w:t>2</w:t>
            </w:r>
            <w:r w:rsidRPr="00934E38">
              <w:rPr>
                <w:sz w:val="22"/>
                <w:szCs w:val="22"/>
                <w:lang w:val="ro-RO"/>
              </w:rPr>
              <w:t>-</w:t>
            </w:r>
            <w:r w:rsidR="008F49DA">
              <w:rPr>
                <w:sz w:val="22"/>
                <w:szCs w:val="22"/>
                <w:lang w:val="ro-RO"/>
              </w:rPr>
              <w:t>14368/09.06.2022</w:t>
            </w:r>
          </w:p>
          <w:p w:rsidR="00326D50" w:rsidRPr="00934E38" w:rsidRDefault="00326D50" w:rsidP="00E03CB4">
            <w:pPr>
              <w:jc w:val="both"/>
              <w:rPr>
                <w:lang w:val="ro-RO"/>
              </w:rPr>
            </w:pPr>
            <w:r w:rsidRPr="00934E38">
              <w:rPr>
                <w:i/>
                <w:sz w:val="22"/>
                <w:szCs w:val="22"/>
                <w:lang w:val="ro-RO"/>
              </w:rPr>
              <w:t>TIMIȘOARA 202</w:t>
            </w:r>
            <w:r w:rsidR="00E03CB4">
              <w:rPr>
                <w:i/>
                <w:sz w:val="22"/>
                <w:szCs w:val="22"/>
                <w:lang w:val="ro-RO"/>
              </w:rPr>
              <w:t>3</w:t>
            </w:r>
            <w:r w:rsidRPr="00934E38">
              <w:rPr>
                <w:i/>
                <w:sz w:val="22"/>
                <w:szCs w:val="22"/>
                <w:lang w:val="ro-RO"/>
              </w:rPr>
              <w:t xml:space="preserve"> CAPITALĂ EUROPEANĂ A CULTURII</w:t>
            </w:r>
          </w:p>
        </w:tc>
        <w:tc>
          <w:tcPr>
            <w:tcW w:w="3240" w:type="dxa"/>
            <w:tcBorders>
              <w:bottom w:val="single" w:sz="4" w:space="0" w:color="auto"/>
            </w:tcBorders>
            <w:shd w:val="clear" w:color="auto" w:fill="auto"/>
          </w:tcPr>
          <w:p w:rsidR="00326D50" w:rsidRPr="00934E38" w:rsidRDefault="00326D50" w:rsidP="00B12A00">
            <w:pPr>
              <w:jc w:val="center"/>
              <w:rPr>
                <w:sz w:val="22"/>
                <w:szCs w:val="22"/>
                <w:lang w:val="ro-RO"/>
              </w:rPr>
            </w:pPr>
          </w:p>
          <w:p w:rsidR="00326D50" w:rsidRPr="00934E38" w:rsidRDefault="00326D50" w:rsidP="00B15A34">
            <w:pPr>
              <w:jc w:val="center"/>
              <w:rPr>
                <w:sz w:val="22"/>
                <w:szCs w:val="22"/>
                <w:lang w:val="ro-RO"/>
              </w:rPr>
            </w:pPr>
          </w:p>
        </w:tc>
        <w:tc>
          <w:tcPr>
            <w:tcW w:w="1260" w:type="dxa"/>
            <w:tcBorders>
              <w:bottom w:val="single" w:sz="4" w:space="0" w:color="auto"/>
            </w:tcBorders>
            <w:shd w:val="clear" w:color="auto" w:fill="auto"/>
          </w:tcPr>
          <w:p w:rsidR="00326D50" w:rsidRPr="00934E38" w:rsidRDefault="00326D50" w:rsidP="00B12A00">
            <w:pPr>
              <w:jc w:val="center"/>
              <w:rPr>
                <w:lang w:val="ro-RO"/>
              </w:rPr>
            </w:pPr>
            <w:r w:rsidRPr="00934E38">
              <w:rPr>
                <w:noProof/>
              </w:rPr>
              <w:drawing>
                <wp:inline distT="0" distB="0" distL="0" distR="0">
                  <wp:extent cx="620395" cy="970280"/>
                  <wp:effectExtent l="19050" t="0" r="8255"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8"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934E38" w:rsidTr="00B12A00">
        <w:trPr>
          <w:cantSplit/>
          <w:trHeight w:val="269"/>
          <w:jc w:val="center"/>
        </w:trPr>
        <w:tc>
          <w:tcPr>
            <w:tcW w:w="11399" w:type="dxa"/>
            <w:gridSpan w:val="3"/>
            <w:tcBorders>
              <w:top w:val="single" w:sz="4" w:space="0" w:color="auto"/>
              <w:bottom w:val="single" w:sz="4" w:space="0" w:color="auto"/>
            </w:tcBorders>
            <w:shd w:val="clear" w:color="auto" w:fill="auto"/>
          </w:tcPr>
          <w:p w:rsidR="00673C77" w:rsidRPr="00934E38" w:rsidRDefault="00673C77" w:rsidP="00B12A00">
            <w:pPr>
              <w:jc w:val="center"/>
              <w:rPr>
                <w:b/>
                <w:i/>
                <w:sz w:val="6"/>
                <w:szCs w:val="6"/>
                <w:lang w:val="ro-RO"/>
              </w:rPr>
            </w:pPr>
          </w:p>
          <w:p w:rsidR="00673C77" w:rsidRPr="00934E38" w:rsidRDefault="00673C77" w:rsidP="003D429E">
            <w:pPr>
              <w:jc w:val="center"/>
              <w:rPr>
                <w:lang w:val="ro-RO"/>
              </w:rPr>
            </w:pPr>
            <w:r w:rsidRPr="00934E38">
              <w:rPr>
                <w:b/>
                <w:i/>
                <w:sz w:val="16"/>
                <w:szCs w:val="16"/>
                <w:lang w:val="ro-RO"/>
              </w:rPr>
              <w:t>Bd. C.D. Loga nr. 1, 300030   Timişoara,  tel: +40 256  408 300,  fax:+40 256 490 635 e-mail</w:t>
            </w:r>
            <w:r w:rsidRPr="00934E38">
              <w:rPr>
                <w:b/>
                <w:i/>
                <w:color w:val="0000FF"/>
                <w:sz w:val="16"/>
                <w:szCs w:val="16"/>
                <w:lang w:val="ro-RO"/>
              </w:rPr>
              <w:t xml:space="preserve">: primariatm@primariatm.ro  </w:t>
            </w:r>
            <w:r w:rsidRPr="00934E38">
              <w:rPr>
                <w:b/>
                <w:i/>
                <w:sz w:val="16"/>
                <w:szCs w:val="16"/>
                <w:lang w:val="ro-RO"/>
              </w:rPr>
              <w:t xml:space="preserve">internet: </w:t>
            </w:r>
            <w:r w:rsidRPr="00934E38">
              <w:rPr>
                <w:b/>
                <w:i/>
                <w:color w:val="0000FF"/>
                <w:sz w:val="16"/>
                <w:szCs w:val="16"/>
                <w:lang w:val="ro-RO"/>
              </w:rPr>
              <w:t>www</w:t>
            </w:r>
            <w:r w:rsidRPr="00934E38">
              <w:rPr>
                <w:b/>
                <w:i/>
                <w:sz w:val="16"/>
                <w:szCs w:val="16"/>
                <w:lang w:val="ro-RO"/>
              </w:rPr>
              <w:t>.</w:t>
            </w:r>
            <w:r w:rsidRPr="00934E38">
              <w:rPr>
                <w:b/>
                <w:i/>
                <w:color w:val="0000FF"/>
                <w:sz w:val="16"/>
                <w:szCs w:val="16"/>
                <w:lang w:val="ro-RO"/>
              </w:rPr>
              <w:t>primariatm.ro</w:t>
            </w:r>
          </w:p>
        </w:tc>
      </w:tr>
    </w:tbl>
    <w:p w:rsidR="00BB707D" w:rsidRPr="00934E38" w:rsidRDefault="00BB707D" w:rsidP="006C2CF3">
      <w:pPr>
        <w:rPr>
          <w:sz w:val="28"/>
          <w:szCs w:val="28"/>
          <w:lang w:val="ro-RO"/>
        </w:rPr>
      </w:pPr>
    </w:p>
    <w:p w:rsidR="00673C77" w:rsidRPr="00934E38" w:rsidRDefault="00673C77" w:rsidP="005E34F6">
      <w:pPr>
        <w:jc w:val="center"/>
        <w:rPr>
          <w:b/>
          <w:bCs/>
          <w:sz w:val="24"/>
          <w:szCs w:val="24"/>
          <w:lang w:val="ro-RO"/>
        </w:rPr>
      </w:pPr>
      <w:r w:rsidRPr="00934E38">
        <w:rPr>
          <w:b/>
          <w:bCs/>
          <w:sz w:val="24"/>
          <w:szCs w:val="24"/>
          <w:lang w:val="ro-RO"/>
        </w:rPr>
        <w:t>RAPORT DE SPECIA</w:t>
      </w:r>
      <w:r w:rsidR="00BB2F70" w:rsidRPr="00934E38">
        <w:rPr>
          <w:b/>
          <w:bCs/>
          <w:sz w:val="24"/>
          <w:szCs w:val="24"/>
          <w:lang w:val="ro-RO"/>
        </w:rPr>
        <w:t>L</w:t>
      </w:r>
      <w:r w:rsidRPr="00934E38">
        <w:rPr>
          <w:b/>
          <w:bCs/>
          <w:sz w:val="24"/>
          <w:szCs w:val="24"/>
          <w:lang w:val="ro-RO"/>
        </w:rPr>
        <w:t>ITATE</w:t>
      </w:r>
    </w:p>
    <w:p w:rsidR="00A915D6" w:rsidRPr="00934E38" w:rsidRDefault="000A1456" w:rsidP="005E34F6">
      <w:pPr>
        <w:autoSpaceDE w:val="0"/>
        <w:autoSpaceDN w:val="0"/>
        <w:adjustRightInd w:val="0"/>
        <w:jc w:val="center"/>
        <w:rPr>
          <w:b/>
          <w:bCs/>
          <w:color w:val="000000"/>
          <w:sz w:val="24"/>
          <w:szCs w:val="24"/>
          <w:lang w:val="ro-RO"/>
        </w:rPr>
      </w:pPr>
      <w:r w:rsidRPr="00934E38">
        <w:rPr>
          <w:b/>
          <w:bCs/>
          <w:color w:val="000000"/>
          <w:sz w:val="24"/>
          <w:szCs w:val="24"/>
          <w:lang w:val="ro-RO"/>
        </w:rPr>
        <w:t>privind aprobarea rezervei de implementare destinată reechilibrării</w:t>
      </w:r>
      <w:r w:rsidR="00C03AC2" w:rsidRPr="00934E38">
        <w:rPr>
          <w:b/>
          <w:bCs/>
          <w:color w:val="000000"/>
          <w:sz w:val="24"/>
          <w:szCs w:val="24"/>
          <w:lang w:val="ro-RO"/>
        </w:rPr>
        <w:t xml:space="preserve"> contractului de furnizare nr. </w:t>
      </w:r>
      <w:r w:rsidRPr="00934E38">
        <w:rPr>
          <w:b/>
          <w:bCs/>
          <w:color w:val="000000"/>
          <w:sz w:val="24"/>
          <w:szCs w:val="24"/>
          <w:lang w:val="ro-RO"/>
        </w:rPr>
        <w:t>103/2019 aferent proiectului  ,,Înnoirea flotei de tramvaie”</w:t>
      </w:r>
    </w:p>
    <w:p w:rsidR="000A1456" w:rsidRPr="00934E38" w:rsidRDefault="000A1456" w:rsidP="00BB707D">
      <w:pPr>
        <w:autoSpaceDE w:val="0"/>
        <w:autoSpaceDN w:val="0"/>
        <w:adjustRightInd w:val="0"/>
        <w:spacing w:line="276" w:lineRule="auto"/>
        <w:jc w:val="center"/>
        <w:rPr>
          <w:b/>
          <w:bCs/>
          <w:color w:val="000000"/>
          <w:sz w:val="24"/>
          <w:szCs w:val="24"/>
          <w:lang w:val="ro-RO"/>
        </w:rPr>
      </w:pPr>
    </w:p>
    <w:p w:rsidR="00673C77" w:rsidRPr="00934E38" w:rsidRDefault="00651C64" w:rsidP="00D33AD1">
      <w:pPr>
        <w:jc w:val="both"/>
        <w:rPr>
          <w:color w:val="000000" w:themeColor="text1"/>
          <w:sz w:val="24"/>
          <w:szCs w:val="24"/>
          <w:lang w:val="ro-RO"/>
        </w:rPr>
      </w:pPr>
      <w:r w:rsidRPr="00934E38">
        <w:rPr>
          <w:sz w:val="24"/>
          <w:szCs w:val="24"/>
          <w:lang w:val="ro-RO"/>
        </w:rPr>
        <w:t xml:space="preserve">            </w:t>
      </w:r>
      <w:r w:rsidR="00673C77" w:rsidRPr="00934E38">
        <w:rPr>
          <w:color w:val="000000" w:themeColor="text1"/>
          <w:sz w:val="24"/>
          <w:szCs w:val="24"/>
          <w:lang w:val="ro-RO"/>
        </w:rPr>
        <w:t xml:space="preserve">Având în vedere </w:t>
      </w:r>
      <w:r w:rsidR="002735DD" w:rsidRPr="00934E38">
        <w:rPr>
          <w:color w:val="000000" w:themeColor="text1"/>
          <w:sz w:val="24"/>
          <w:szCs w:val="24"/>
          <w:lang w:val="ro-RO"/>
        </w:rPr>
        <w:t>Referatul d</w:t>
      </w:r>
      <w:r w:rsidR="00761CA8">
        <w:rPr>
          <w:color w:val="000000" w:themeColor="text1"/>
          <w:sz w:val="24"/>
          <w:szCs w:val="24"/>
          <w:lang w:val="ro-RO"/>
        </w:rPr>
        <w:t>e aprobare a proiectului de hotărâ</w:t>
      </w:r>
      <w:r w:rsidR="002735DD" w:rsidRPr="00934E38">
        <w:rPr>
          <w:color w:val="000000" w:themeColor="text1"/>
          <w:sz w:val="24"/>
          <w:szCs w:val="24"/>
          <w:lang w:val="ro-RO"/>
        </w:rPr>
        <w:t>re</w:t>
      </w:r>
      <w:r w:rsidR="00F5757C" w:rsidRPr="00934E38">
        <w:rPr>
          <w:color w:val="000000" w:themeColor="text1"/>
          <w:sz w:val="24"/>
          <w:szCs w:val="24"/>
          <w:lang w:val="ro-RO"/>
        </w:rPr>
        <w:t xml:space="preserve"> nr. </w:t>
      </w:r>
      <w:r w:rsidR="000A5A88" w:rsidRPr="00934E38">
        <w:rPr>
          <w:color w:val="000000" w:themeColor="text1"/>
          <w:sz w:val="24"/>
          <w:szCs w:val="24"/>
          <w:lang w:val="ro-RO"/>
        </w:rPr>
        <w:t>SC20</w:t>
      </w:r>
      <w:r w:rsidR="002735DD" w:rsidRPr="00934E38">
        <w:rPr>
          <w:color w:val="000000" w:themeColor="text1"/>
          <w:sz w:val="24"/>
          <w:szCs w:val="24"/>
          <w:lang w:val="ro-RO"/>
        </w:rPr>
        <w:t>2</w:t>
      </w:r>
      <w:r w:rsidR="00FC6E15">
        <w:rPr>
          <w:color w:val="000000" w:themeColor="text1"/>
          <w:sz w:val="24"/>
          <w:szCs w:val="24"/>
          <w:lang w:val="ro-RO"/>
        </w:rPr>
        <w:t>2</w:t>
      </w:r>
      <w:r w:rsidR="00A915D6" w:rsidRPr="00934E38">
        <w:rPr>
          <w:color w:val="000000" w:themeColor="text1"/>
          <w:sz w:val="24"/>
          <w:szCs w:val="24"/>
          <w:lang w:val="ro-RO"/>
        </w:rPr>
        <w:t>-</w:t>
      </w:r>
      <w:r w:rsidR="00FC6E15">
        <w:rPr>
          <w:color w:val="000000" w:themeColor="text1"/>
          <w:sz w:val="24"/>
          <w:szCs w:val="24"/>
          <w:lang w:val="ro-RO"/>
        </w:rPr>
        <w:t>14368/09.06.2022</w:t>
      </w:r>
      <w:r w:rsidR="000A1456" w:rsidRPr="00934E38">
        <w:rPr>
          <w:color w:val="000000" w:themeColor="text1"/>
          <w:sz w:val="24"/>
          <w:szCs w:val="24"/>
          <w:lang w:val="ro-RO"/>
        </w:rPr>
        <w:t xml:space="preserve">           </w:t>
      </w:r>
      <w:r w:rsidR="00673C77" w:rsidRPr="00934E38">
        <w:rPr>
          <w:color w:val="000000" w:themeColor="text1"/>
          <w:sz w:val="24"/>
          <w:szCs w:val="24"/>
          <w:lang w:val="ro-RO"/>
        </w:rPr>
        <w:t xml:space="preserve">a Primarului Municipiului Timișoara și Proiectul de hotărâre </w:t>
      </w:r>
      <w:r w:rsidR="000A1456" w:rsidRPr="00934E38">
        <w:rPr>
          <w:bCs/>
          <w:color w:val="000000" w:themeColor="text1"/>
          <w:sz w:val="24"/>
          <w:szCs w:val="24"/>
          <w:lang w:val="ro-RO"/>
        </w:rPr>
        <w:t>privind aprobarea rezervei de implementare destinată reechilibrării</w:t>
      </w:r>
      <w:r w:rsidR="00C03AC2" w:rsidRPr="00934E38">
        <w:rPr>
          <w:bCs/>
          <w:color w:val="000000" w:themeColor="text1"/>
          <w:sz w:val="24"/>
          <w:szCs w:val="24"/>
          <w:lang w:val="ro-RO"/>
        </w:rPr>
        <w:t xml:space="preserve"> contractului de furnizare nr. </w:t>
      </w:r>
      <w:r w:rsidR="000A1456" w:rsidRPr="00934E38">
        <w:rPr>
          <w:bCs/>
          <w:color w:val="000000" w:themeColor="text1"/>
          <w:sz w:val="24"/>
          <w:szCs w:val="24"/>
          <w:lang w:val="ro-RO"/>
        </w:rPr>
        <w:t xml:space="preserve">103/2019 aferent proiectului  ,,Înnoirea flotei de tramvaie”, </w:t>
      </w:r>
      <w:r w:rsidRPr="00934E38">
        <w:rPr>
          <w:rStyle w:val="rezumat1"/>
          <w:color w:val="000000" w:themeColor="text1"/>
          <w:sz w:val="24"/>
          <w:szCs w:val="24"/>
          <w:lang w:val="ro-RO"/>
        </w:rPr>
        <w:t>f</w:t>
      </w:r>
      <w:r w:rsidR="00673C77" w:rsidRPr="00934E38">
        <w:rPr>
          <w:color w:val="000000" w:themeColor="text1"/>
          <w:sz w:val="24"/>
          <w:szCs w:val="24"/>
          <w:lang w:val="ro-RO"/>
        </w:rPr>
        <w:t>acem următoarele precizări:</w:t>
      </w:r>
    </w:p>
    <w:p w:rsidR="00184B73" w:rsidRPr="00934E38" w:rsidRDefault="00184B73" w:rsidP="00D33AD1">
      <w:pPr>
        <w:autoSpaceDE w:val="0"/>
        <w:autoSpaceDN w:val="0"/>
        <w:adjustRightInd w:val="0"/>
        <w:ind w:firstLine="720"/>
        <w:jc w:val="both"/>
        <w:rPr>
          <w:bCs/>
          <w:color w:val="000000" w:themeColor="text1"/>
          <w:sz w:val="24"/>
          <w:szCs w:val="24"/>
          <w:lang w:val="ro-RO"/>
        </w:rPr>
      </w:pPr>
      <w:r w:rsidRPr="00934E38">
        <w:rPr>
          <w:color w:val="000000" w:themeColor="text1"/>
          <w:sz w:val="24"/>
          <w:szCs w:val="24"/>
          <w:lang w:val="ro-RO"/>
        </w:rPr>
        <w:t>STPT este operato</w:t>
      </w:r>
      <w:r w:rsidR="00761CA8">
        <w:rPr>
          <w:color w:val="000000" w:themeColor="text1"/>
          <w:sz w:val="24"/>
          <w:szCs w:val="24"/>
          <w:lang w:val="ro-RO"/>
        </w:rPr>
        <w:t>rul de transport public pentru M</w:t>
      </w:r>
      <w:r w:rsidRPr="00934E38">
        <w:rPr>
          <w:color w:val="000000" w:themeColor="text1"/>
          <w:sz w:val="24"/>
          <w:szCs w:val="24"/>
          <w:lang w:val="ro-RO"/>
        </w:rPr>
        <w:t>unicipiul Timișoara, operând curse cu tramvaie, troleibuze și autobuze</w:t>
      </w:r>
      <w:r w:rsidR="009C1BD6">
        <w:rPr>
          <w:color w:val="000000" w:themeColor="text1"/>
          <w:sz w:val="24"/>
          <w:szCs w:val="24"/>
          <w:lang w:val="ro-RO"/>
        </w:rPr>
        <w:t xml:space="preserve">. </w:t>
      </w:r>
      <w:r w:rsidRPr="00934E38">
        <w:rPr>
          <w:color w:val="000000" w:themeColor="text1"/>
          <w:sz w:val="24"/>
          <w:szCs w:val="24"/>
          <w:lang w:val="ro-RO"/>
        </w:rPr>
        <w:t>Vârsta medie a parcului de tramvaie utilizat în prezent de STPT este de 41,5 ani, tramvaiele fiind produse între anii 1962-1973, astfel că, începând cu anul 2010, acestea îndeplinesc condiţiile legale de casare.</w:t>
      </w:r>
      <w:r w:rsidRPr="00934E38">
        <w:rPr>
          <w:bCs/>
          <w:color w:val="000000" w:themeColor="text1"/>
          <w:sz w:val="24"/>
          <w:szCs w:val="24"/>
          <w:lang w:val="ro-RO"/>
        </w:rPr>
        <w:t xml:space="preserve"> </w:t>
      </w:r>
    </w:p>
    <w:p w:rsidR="00BB707D" w:rsidRPr="00934E38" w:rsidRDefault="00761CA8" w:rsidP="00D33AD1">
      <w:pPr>
        <w:pStyle w:val="NoSpacing"/>
        <w:jc w:val="both"/>
        <w:rPr>
          <w:color w:val="000000" w:themeColor="text1"/>
          <w:sz w:val="24"/>
          <w:szCs w:val="24"/>
          <w:lang w:val="ro-RO"/>
        </w:rPr>
      </w:pPr>
      <w:r>
        <w:rPr>
          <w:color w:val="000000" w:themeColor="text1"/>
          <w:sz w:val="24"/>
          <w:szCs w:val="24"/>
          <w:lang w:val="ro-RO"/>
        </w:rPr>
        <w:t xml:space="preserve">           Municipiul Timișoara dorește să-și îmbunătățească</w:t>
      </w:r>
      <w:r w:rsidR="00BB707D" w:rsidRPr="00934E38">
        <w:rPr>
          <w:color w:val="000000" w:themeColor="text1"/>
          <w:sz w:val="24"/>
          <w:szCs w:val="24"/>
          <w:lang w:val="ro-RO"/>
        </w:rPr>
        <w:t xml:space="preserve"> continuu performan</w:t>
      </w:r>
      <w:r>
        <w:rPr>
          <w:color w:val="000000" w:themeColor="text1"/>
          <w:sz w:val="24"/>
          <w:szCs w:val="24"/>
          <w:lang w:val="ro-RO"/>
        </w:rPr>
        <w:t>țele î</w:t>
      </w:r>
      <w:r w:rsidR="00BB707D" w:rsidRPr="00934E38">
        <w:rPr>
          <w:color w:val="000000" w:themeColor="text1"/>
          <w:sz w:val="24"/>
          <w:szCs w:val="24"/>
          <w:lang w:val="ro-RO"/>
        </w:rPr>
        <w:t>n domeniul tran</w:t>
      </w:r>
      <w:r>
        <w:rPr>
          <w:color w:val="000000" w:themeColor="text1"/>
          <w:sz w:val="24"/>
          <w:szCs w:val="24"/>
          <w:lang w:val="ro-RO"/>
        </w:rPr>
        <w:t xml:space="preserve">sportului public de persoane.  În acest scop are în vedere să asigure satisfacerea continuă a cerințelor și </w:t>
      </w:r>
      <w:r w:rsidRPr="009C1BD6">
        <w:rPr>
          <w:sz w:val="24"/>
          <w:szCs w:val="24"/>
          <w:lang w:val="ro-RO"/>
        </w:rPr>
        <w:t>așteptărilor clienților</w:t>
      </w:r>
      <w:r>
        <w:rPr>
          <w:color w:val="FF0000"/>
          <w:sz w:val="24"/>
          <w:szCs w:val="24"/>
          <w:lang w:val="ro-RO"/>
        </w:rPr>
        <w:t xml:space="preserve"> </w:t>
      </w:r>
      <w:r>
        <w:rPr>
          <w:color w:val="000000" w:themeColor="text1"/>
          <w:sz w:val="24"/>
          <w:szCs w:val="24"/>
          <w:lang w:val="ro-RO"/>
        </w:rPr>
        <w:t>printr-o înaltă</w:t>
      </w:r>
      <w:r w:rsidR="00BB707D" w:rsidRPr="00934E38">
        <w:rPr>
          <w:color w:val="000000" w:themeColor="text1"/>
          <w:sz w:val="24"/>
          <w:szCs w:val="24"/>
          <w:lang w:val="ro-RO"/>
        </w:rPr>
        <w:t xml:space="preserve"> calitate a tr</w:t>
      </w:r>
      <w:r>
        <w:rPr>
          <w:color w:val="000000" w:themeColor="text1"/>
          <w:sz w:val="24"/>
          <w:szCs w:val="24"/>
          <w:lang w:val="ro-RO"/>
        </w:rPr>
        <w:t>ansportului public de persoane și în același timp să protejeze mediul î</w:t>
      </w:r>
      <w:r w:rsidR="00BB707D" w:rsidRPr="00934E38">
        <w:rPr>
          <w:color w:val="000000" w:themeColor="text1"/>
          <w:sz w:val="24"/>
          <w:szCs w:val="24"/>
          <w:lang w:val="ro-RO"/>
        </w:rPr>
        <w:t>nco</w:t>
      </w:r>
      <w:r>
        <w:rPr>
          <w:color w:val="000000" w:themeColor="text1"/>
          <w:sz w:val="24"/>
          <w:szCs w:val="24"/>
          <w:lang w:val="ro-RO"/>
        </w:rPr>
        <w:t>njurător prin prevenirea și controlul poluă</w:t>
      </w:r>
      <w:r w:rsidR="00BB707D" w:rsidRPr="00934E38">
        <w:rPr>
          <w:color w:val="000000" w:themeColor="text1"/>
          <w:sz w:val="24"/>
          <w:szCs w:val="24"/>
          <w:lang w:val="ro-RO"/>
        </w:rPr>
        <w:t xml:space="preserve">rii. </w:t>
      </w:r>
    </w:p>
    <w:p w:rsidR="00184B73" w:rsidRPr="00934E38" w:rsidRDefault="00184B73" w:rsidP="00D33AD1">
      <w:pPr>
        <w:tabs>
          <w:tab w:val="left" w:pos="720"/>
        </w:tabs>
        <w:jc w:val="both"/>
        <w:rPr>
          <w:color w:val="000000" w:themeColor="text1"/>
          <w:sz w:val="24"/>
          <w:szCs w:val="24"/>
          <w:lang w:val="ro-RO"/>
        </w:rPr>
      </w:pPr>
      <w:r w:rsidRPr="00934E38">
        <w:rPr>
          <w:color w:val="000000" w:themeColor="text1"/>
          <w:sz w:val="24"/>
          <w:szCs w:val="24"/>
          <w:lang w:val="ro-RO"/>
        </w:rPr>
        <w:tab/>
        <w:t>În vederea finanțării proiectelor de transport urban, în cadrul Programului Operațional pentru Dezvoltare Regională 2014 – 2020, prin FEDR (Fondul European pentru Dezvoltare Regională), a fost necesară elaborarea Planurilor de Mobilitate Urbană Durabilă (PMUD), urmare a abordării integrate susținută de către Comisia Europeană.</w:t>
      </w:r>
    </w:p>
    <w:p w:rsidR="00BB707D" w:rsidRPr="00934E38" w:rsidRDefault="00BB707D" w:rsidP="00D33AD1">
      <w:pPr>
        <w:ind w:firstLine="720"/>
        <w:jc w:val="both"/>
        <w:rPr>
          <w:iCs/>
          <w:color w:val="000000" w:themeColor="text1"/>
          <w:sz w:val="24"/>
          <w:szCs w:val="24"/>
          <w:lang w:val="ro-RO"/>
        </w:rPr>
      </w:pPr>
      <w:r w:rsidRPr="00934E38">
        <w:rPr>
          <w:iCs/>
          <w:color w:val="000000" w:themeColor="text1"/>
          <w:sz w:val="24"/>
          <w:szCs w:val="24"/>
          <w:lang w:val="ro-RO"/>
        </w:rPr>
        <w:t xml:space="preserve">Proiectul </w:t>
      </w:r>
      <w:r w:rsidRPr="00934E38">
        <w:rPr>
          <w:color w:val="000000" w:themeColor="text1"/>
          <w:sz w:val="24"/>
          <w:szCs w:val="24"/>
          <w:lang w:val="ro-RO"/>
        </w:rPr>
        <w:t>„</w:t>
      </w:r>
      <w:r w:rsidRPr="00934E38">
        <w:rPr>
          <w:bCs/>
          <w:color w:val="000000" w:themeColor="text1"/>
          <w:sz w:val="24"/>
          <w:szCs w:val="24"/>
          <w:lang w:val="ro-RO"/>
        </w:rPr>
        <w:t>Înnoirea flotei de tramvaie</w:t>
      </w:r>
      <w:r w:rsidRPr="00934E38">
        <w:rPr>
          <w:color w:val="000000" w:themeColor="text1"/>
          <w:sz w:val="24"/>
          <w:szCs w:val="24"/>
          <w:lang w:val="ro-RO"/>
        </w:rPr>
        <w:t>”</w:t>
      </w:r>
      <w:r w:rsidRPr="00934E38">
        <w:rPr>
          <w:b/>
          <w:color w:val="000000" w:themeColor="text1"/>
          <w:sz w:val="24"/>
          <w:szCs w:val="24"/>
          <w:lang w:val="ro-RO"/>
        </w:rPr>
        <w:t xml:space="preserve"> </w:t>
      </w:r>
      <w:r w:rsidRPr="00934E38">
        <w:rPr>
          <w:color w:val="000000" w:themeColor="text1"/>
          <w:sz w:val="24"/>
          <w:szCs w:val="24"/>
          <w:lang w:val="ro-RO"/>
        </w:rPr>
        <w:t>este inclus în</w:t>
      </w:r>
      <w:r w:rsidRPr="00934E38">
        <w:rPr>
          <w:b/>
          <w:color w:val="000000" w:themeColor="text1"/>
          <w:sz w:val="24"/>
          <w:szCs w:val="24"/>
          <w:lang w:val="ro-RO"/>
        </w:rPr>
        <w:t xml:space="preserve"> </w:t>
      </w:r>
      <w:r w:rsidRPr="00934E38">
        <w:rPr>
          <w:iCs/>
          <w:color w:val="000000" w:themeColor="text1"/>
          <w:sz w:val="24"/>
          <w:szCs w:val="24"/>
          <w:lang w:val="ro-RO"/>
        </w:rPr>
        <w:t>Planul de Mobilitate Urbană Durabilă şi este prevăzut a fi realizat până în anul 2020. În luna septembrie 2017 a fost elaborat de către Autoritatea Urbană a Municipiului Timişoara, Documentul justificativ pentru finanţarea din fonduri europene structurale şi de investiţii 2014-2020, acest proiect fiind cuprins în lista proiectelor prioritare ce se doresc a fi implementate.</w:t>
      </w:r>
    </w:p>
    <w:p w:rsidR="00B97ED7" w:rsidRPr="009C1BD6" w:rsidRDefault="00BB707D" w:rsidP="00D33AD1">
      <w:pPr>
        <w:tabs>
          <w:tab w:val="left" w:pos="720"/>
        </w:tabs>
        <w:jc w:val="both"/>
        <w:rPr>
          <w:bCs/>
          <w:color w:val="000000" w:themeColor="text1"/>
          <w:sz w:val="24"/>
          <w:szCs w:val="24"/>
          <w:lang w:val="ro-RO"/>
        </w:rPr>
      </w:pPr>
      <w:r w:rsidRPr="00934E38">
        <w:rPr>
          <w:bCs/>
          <w:color w:val="000000" w:themeColor="text1"/>
          <w:sz w:val="24"/>
          <w:szCs w:val="24"/>
          <w:lang w:val="ro-RO"/>
        </w:rPr>
        <w:tab/>
      </w:r>
      <w:r w:rsidR="00B97ED7" w:rsidRPr="00934E38">
        <w:rPr>
          <w:bCs/>
          <w:color w:val="000000" w:themeColor="text1"/>
          <w:sz w:val="24"/>
          <w:szCs w:val="24"/>
          <w:lang w:val="ro-RO"/>
        </w:rPr>
        <w:t>Proiectul propune achiziţionarea a 16 de tramvaie noi articulate cu podea coborîtă, acționate prin invertoare și motoare asincrone de curent alternativ, alimentate de la rețea de contact sau dintr-o unitate de stocare a energiei electrice (montată în tramvai), cu post de conducere la un singur capăt și uși de acces pe partea dreaptă față de direcția de mers înainte, cu po</w:t>
      </w:r>
      <w:r w:rsidR="00761CA8">
        <w:rPr>
          <w:bCs/>
          <w:color w:val="000000" w:themeColor="text1"/>
          <w:sz w:val="24"/>
          <w:szCs w:val="24"/>
          <w:lang w:val="ro-RO"/>
        </w:rPr>
        <w:t xml:space="preserve">sibilitatea de suplimentare cu încă </w:t>
      </w:r>
      <w:r w:rsidR="00761CA8" w:rsidRPr="009C1BD6">
        <w:rPr>
          <w:bCs/>
          <w:color w:val="000000" w:themeColor="text1"/>
          <w:sz w:val="24"/>
          <w:szCs w:val="24"/>
          <w:lang w:val="ro-RO"/>
        </w:rPr>
        <w:t xml:space="preserve">24 de </w:t>
      </w:r>
      <w:r w:rsidR="00B97ED7" w:rsidRPr="009C1BD6">
        <w:rPr>
          <w:bCs/>
          <w:color w:val="000000" w:themeColor="text1"/>
          <w:sz w:val="24"/>
          <w:szCs w:val="24"/>
          <w:lang w:val="ro-RO"/>
        </w:rPr>
        <w:t>tramvaie în baza art. 221 alin (1) litera a) din Legea nr. 98/2016 cu toate completările şi modificările ulterioare.</w:t>
      </w:r>
    </w:p>
    <w:p w:rsidR="00D36226" w:rsidRPr="00934E38" w:rsidRDefault="00D36226" w:rsidP="00D36226">
      <w:pPr>
        <w:autoSpaceDE w:val="0"/>
        <w:autoSpaceDN w:val="0"/>
        <w:adjustRightInd w:val="0"/>
        <w:ind w:firstLine="720"/>
        <w:jc w:val="both"/>
        <w:rPr>
          <w:b/>
          <w:color w:val="000000"/>
          <w:sz w:val="24"/>
          <w:szCs w:val="24"/>
          <w:lang w:val="ro-RO"/>
        </w:rPr>
      </w:pPr>
      <w:r w:rsidRPr="009C1BD6">
        <w:rPr>
          <w:color w:val="000000"/>
          <w:sz w:val="24"/>
          <w:szCs w:val="24"/>
          <w:lang w:val="ro-RO"/>
        </w:rPr>
        <w:t>Prin adresa cu nr. SC2</w:t>
      </w:r>
      <w:r w:rsidR="007C1E0C" w:rsidRPr="009C1BD6">
        <w:rPr>
          <w:color w:val="000000"/>
          <w:sz w:val="24"/>
          <w:szCs w:val="24"/>
          <w:lang w:val="ro-RO"/>
        </w:rPr>
        <w:t>022-840/31.05.2022, furnizorul</w:t>
      </w:r>
      <w:r w:rsidRPr="009C1BD6">
        <w:rPr>
          <w:color w:val="000000"/>
          <w:sz w:val="24"/>
          <w:szCs w:val="24"/>
          <w:lang w:val="ro-RO"/>
        </w:rPr>
        <w:t xml:space="preserve"> BOZANKAYA OTOMOTIV MAK. IML. ITH. VE IHR A.S</w:t>
      </w:r>
      <w:r w:rsidRPr="009C1BD6">
        <w:rPr>
          <w:b/>
          <w:color w:val="000000"/>
          <w:sz w:val="24"/>
          <w:szCs w:val="24"/>
          <w:lang w:val="ro-RO"/>
        </w:rPr>
        <w:t xml:space="preserve">. </w:t>
      </w:r>
      <w:r w:rsidRPr="009C1BD6">
        <w:rPr>
          <w:color w:val="000000"/>
          <w:sz w:val="24"/>
          <w:szCs w:val="24"/>
          <w:lang w:val="ro-RO"/>
        </w:rPr>
        <w:t>solicită ajustarea preţului contractului nr. 103/2019 în conformitate cu prevederile</w:t>
      </w:r>
      <w:r w:rsidR="007C1E0C" w:rsidRPr="009C1BD6">
        <w:rPr>
          <w:color w:val="000000"/>
          <w:sz w:val="24"/>
          <w:szCs w:val="24"/>
          <w:lang w:val="ro-RO"/>
        </w:rPr>
        <w:t xml:space="preserve"> O</w:t>
      </w:r>
      <w:r w:rsidRPr="009C1BD6">
        <w:rPr>
          <w:color w:val="000000"/>
          <w:sz w:val="24"/>
          <w:szCs w:val="24"/>
          <w:lang w:val="ro-RO"/>
        </w:rPr>
        <w:t>UG nr. 64/2022.</w:t>
      </w:r>
    </w:p>
    <w:p w:rsidR="00001F86" w:rsidRPr="00934E38" w:rsidRDefault="00001F86" w:rsidP="00001F86">
      <w:pPr>
        <w:ind w:firstLine="720"/>
        <w:jc w:val="both"/>
        <w:rPr>
          <w:bCs/>
          <w:sz w:val="24"/>
          <w:szCs w:val="24"/>
          <w:lang w:val="ro-RO"/>
        </w:rPr>
      </w:pPr>
      <w:r w:rsidRPr="00934E38">
        <w:rPr>
          <w:bCs/>
          <w:sz w:val="24"/>
          <w:szCs w:val="24"/>
          <w:lang w:val="ro-RO"/>
        </w:rPr>
        <w:t>Criza generată de virusul SARS-CoV-2, creşteri ale preţului la carburanţi, dar şi creşteri semnificative ale preţului la gazele naturale şi la energia electric</w:t>
      </w:r>
      <w:r w:rsidR="006C2CF3" w:rsidRPr="00934E38">
        <w:rPr>
          <w:bCs/>
          <w:sz w:val="24"/>
          <w:szCs w:val="24"/>
          <w:lang w:val="ro-RO"/>
        </w:rPr>
        <w:t>ă</w:t>
      </w:r>
      <w:r w:rsidRPr="00934E38">
        <w:rPr>
          <w:bCs/>
          <w:sz w:val="24"/>
          <w:szCs w:val="24"/>
          <w:lang w:val="ro-RO"/>
        </w:rPr>
        <w:t xml:space="preserve">, </w:t>
      </w:r>
      <w:r w:rsidR="006C2CF3" w:rsidRPr="00934E38">
        <w:rPr>
          <w:bCs/>
          <w:sz w:val="24"/>
          <w:szCs w:val="24"/>
          <w:lang w:val="ro-RO"/>
        </w:rPr>
        <w:t xml:space="preserve">precum şi </w:t>
      </w:r>
      <w:r w:rsidRPr="00934E38">
        <w:rPr>
          <w:bCs/>
          <w:sz w:val="24"/>
          <w:szCs w:val="24"/>
          <w:lang w:val="ro-RO"/>
        </w:rPr>
        <w:t>criza provocată de conflictul militar din regiunea Mării Negre au condus la declanşarea crizei pe piaţa construcţiilor</w:t>
      </w:r>
      <w:r w:rsidR="007C1E0C">
        <w:rPr>
          <w:bCs/>
          <w:sz w:val="24"/>
          <w:szCs w:val="24"/>
          <w:lang w:val="ro-RO"/>
        </w:rPr>
        <w:t>,</w:t>
      </w:r>
      <w:r w:rsidRPr="00934E38">
        <w:rPr>
          <w:bCs/>
          <w:sz w:val="24"/>
          <w:szCs w:val="24"/>
          <w:lang w:val="ro-RO"/>
        </w:rPr>
        <w:t xml:space="preserve"> au caracter imprevizibil şi sunt considerate cauze care nu depind de acţiunea părţilor contractuale, dar care afectează în mod semnificativ implementarea proiectelor de infrastructură, dar şi a celor de furnizare echipamente, consecinţa fiind blocarea implementării proiectelor şi afectarea serioasă a indicatorilor pentru programe operaţionale/naţionale finanţate din fonduri, domeniul Afaceri interne, denumite în continuare programe naţionale pe care România le are de îndeplinit în cadrul politicii de coeziune 2014-2020 sau alte politici europene relevante.</w:t>
      </w:r>
    </w:p>
    <w:p w:rsidR="00BA57C8" w:rsidRPr="00934E38" w:rsidRDefault="00BA57C8" w:rsidP="00BA57C8">
      <w:pPr>
        <w:ind w:firstLine="720"/>
        <w:jc w:val="both"/>
        <w:rPr>
          <w:bCs/>
          <w:sz w:val="24"/>
          <w:szCs w:val="24"/>
          <w:lang w:val="ro-RO"/>
        </w:rPr>
      </w:pPr>
      <w:r w:rsidRPr="00934E38">
        <w:rPr>
          <w:bCs/>
          <w:sz w:val="24"/>
          <w:szCs w:val="24"/>
          <w:lang w:val="ro-RO"/>
        </w:rPr>
        <w:t>Prin Ordonanţa de Urgenţă nr. 64/2022,</w:t>
      </w:r>
      <w:r w:rsidRPr="00934E38">
        <w:rPr>
          <w:b/>
          <w:bCs/>
          <w:sz w:val="24"/>
          <w:szCs w:val="24"/>
          <w:lang w:val="ro-RO"/>
        </w:rPr>
        <w:t xml:space="preserve"> </w:t>
      </w:r>
      <w:hyperlink r:id="rId9" w:anchor="26339599" w:history="1">
        <w:r w:rsidRPr="00934E38">
          <w:rPr>
            <w:bCs/>
            <w:sz w:val="24"/>
            <w:szCs w:val="24"/>
            <w:lang w:val="ro-RO"/>
          </w:rPr>
          <w:t>se</w:t>
        </w:r>
        <w:r w:rsidRPr="00934E38">
          <w:rPr>
            <w:rStyle w:val="Hyperlink"/>
            <w:bCs/>
            <w:color w:val="auto"/>
            <w:sz w:val="24"/>
            <w:szCs w:val="24"/>
            <w:u w:val="none"/>
            <w:lang w:val="ro-RO"/>
          </w:rPr>
          <w:t xml:space="preserv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BA57C8" w:rsidRPr="00934E38" w:rsidRDefault="00BA57C8" w:rsidP="00BA57C8">
      <w:pPr>
        <w:ind w:firstLine="720"/>
        <w:jc w:val="both"/>
        <w:rPr>
          <w:bCs/>
          <w:sz w:val="24"/>
          <w:szCs w:val="24"/>
          <w:lang w:val="ro-RO"/>
        </w:rPr>
      </w:pPr>
      <w:r w:rsidRPr="00934E38">
        <w:rPr>
          <w:bCs/>
          <w:sz w:val="24"/>
          <w:szCs w:val="24"/>
          <w:lang w:val="ro-RO"/>
        </w:rPr>
        <w:lastRenderedPageBreak/>
        <w:t>În conformitate cu prevederile art. 3 alin.</w:t>
      </w:r>
      <w:r w:rsidRPr="00934E38">
        <w:rPr>
          <w:b/>
          <w:bCs/>
          <w:sz w:val="24"/>
          <w:szCs w:val="24"/>
          <w:lang w:val="ro-RO"/>
        </w:rPr>
        <w:t xml:space="preserve"> </w:t>
      </w:r>
      <w:hyperlink r:id="rId10" w:anchor="26339599" w:history="1">
        <w:r w:rsidRPr="00934E38">
          <w:rPr>
            <w:rStyle w:val="Hyperlink"/>
            <w:bCs/>
            <w:color w:val="auto"/>
            <w:sz w:val="24"/>
            <w:szCs w:val="24"/>
            <w:u w:val="none"/>
            <w:lang w:val="ro-RO"/>
          </w:rPr>
          <w:t>(1) din OUG nr. 64/2022, preţul contractelor de achiziţie publică aferente proiectelor de investiţii finanţate integral sau parţial din fonduri externe nerambursabile, aflate în derulare la data intrării în vigoare a ordonanţei de urgenţă, se ajustează în condiţiile acesteia, pentru a ţine seama de unele creşteri sau diminuări de costuri pe baza cărora s-a fundamentat preţul contractelor de achiziţie şi care nu au putut fi prevăzute de ofertanţi la data elaborării ofertelor, chiar dacă pre</w:t>
        </w:r>
        <w:r w:rsidR="001F3BFC">
          <w:rPr>
            <w:rStyle w:val="Hyperlink"/>
            <w:bCs/>
            <w:color w:val="auto"/>
            <w:sz w:val="24"/>
            <w:szCs w:val="24"/>
            <w:u w:val="none"/>
            <w:lang w:val="ro-RO"/>
          </w:rPr>
          <w:t>ţurile contractelor sunt ferme</w:t>
        </w:r>
        <w:r w:rsidRPr="00934E38">
          <w:rPr>
            <w:rStyle w:val="Hyperlink"/>
            <w:bCs/>
            <w:color w:val="auto"/>
            <w:sz w:val="24"/>
            <w:szCs w:val="24"/>
            <w:u w:val="none"/>
            <w:lang w:val="ro-RO"/>
          </w:rPr>
          <w:t xml:space="preserve"> sau formulele de ajustare a preţului au fost cuprinse în documentaţiile de atribuire, din cauza caracterului imprevizibil al acestor creşteri sau diminuări de costuri.</w:t>
        </w:r>
      </w:hyperlink>
    </w:p>
    <w:p w:rsidR="00BA57C8" w:rsidRPr="00934E38" w:rsidRDefault="00ED7CA8" w:rsidP="00BA57C8">
      <w:pPr>
        <w:ind w:firstLine="720"/>
        <w:jc w:val="both"/>
        <w:rPr>
          <w:bCs/>
          <w:sz w:val="24"/>
          <w:szCs w:val="24"/>
          <w:lang w:val="ro-RO"/>
        </w:rPr>
      </w:pPr>
      <w:hyperlink r:id="rId11" w:anchor="26339599" w:history="1">
        <w:r w:rsidR="00BA57C8" w:rsidRPr="00934E38">
          <w:rPr>
            <w:rStyle w:val="Hyperlink"/>
            <w:bCs/>
            <w:color w:val="auto"/>
            <w:sz w:val="24"/>
            <w:szCs w:val="24"/>
            <w:u w:val="none"/>
            <w:lang w:val="ro-RO"/>
          </w:rPr>
          <w:t xml:space="preserve">Potrivit punctului (ii), alin. (2) din art. 3 a OUG nr. 64/2022, prevederile se aplică </w:t>
        </w:r>
      </w:hyperlink>
      <w:hyperlink r:id="rId12" w:anchor="26339606" w:history="1">
        <w:r w:rsidR="00BA57C8" w:rsidRPr="00934E38">
          <w:rPr>
            <w:rStyle w:val="Hyperlink"/>
            <w:bCs/>
            <w:color w:val="auto"/>
            <w:sz w:val="24"/>
            <w:szCs w:val="24"/>
            <w:u w:val="none"/>
            <w:lang w:val="ro-RO"/>
          </w:rPr>
          <w:t xml:space="preserve">contractelor de achiziţie publică de produse, definite la </w:t>
        </w:r>
        <w:hyperlink r:id="rId13" w:anchor="26339603" w:history="1">
          <w:r w:rsidR="00BA57C8" w:rsidRPr="00934E38">
            <w:rPr>
              <w:rStyle w:val="Hyperlink"/>
              <w:bCs/>
              <w:color w:val="auto"/>
              <w:sz w:val="24"/>
              <w:szCs w:val="24"/>
              <w:u w:val="none"/>
              <w:lang w:val="ro-RO"/>
            </w:rPr>
            <w:t>art. 3 alin. (1) lit. c)</w:t>
          </w:r>
        </w:hyperlink>
        <w:r w:rsidR="00BA57C8" w:rsidRPr="00934E38">
          <w:rPr>
            <w:rStyle w:val="Hyperlink"/>
            <w:bCs/>
            <w:color w:val="auto"/>
            <w:sz w:val="24"/>
            <w:szCs w:val="24"/>
            <w:u w:val="none"/>
            <w:lang w:val="ro-RO"/>
          </w:rPr>
          <w:t xml:space="preserve"> şi </w:t>
        </w:r>
        <w:hyperlink r:id="rId14" w:anchor="26339607" w:history="1">
          <w:r w:rsidR="00BA57C8" w:rsidRPr="00934E38">
            <w:rPr>
              <w:rStyle w:val="Hyperlink"/>
              <w:bCs/>
              <w:color w:val="auto"/>
              <w:sz w:val="24"/>
              <w:szCs w:val="24"/>
              <w:u w:val="none"/>
              <w:lang w:val="ro-RO"/>
            </w:rPr>
            <w:t>n) din Legea nr. 98/2016</w:t>
          </w:r>
        </w:hyperlink>
        <w:r w:rsidR="00BA57C8" w:rsidRPr="00934E38">
          <w:rPr>
            <w:rStyle w:val="Hyperlink"/>
            <w:bCs/>
            <w:color w:val="auto"/>
            <w:sz w:val="24"/>
            <w:szCs w:val="24"/>
            <w:u w:val="none"/>
            <w:lang w:val="ro-RO"/>
          </w:rPr>
          <w:t>, cu modificările şi completările ulterioare, care au ca obiect</w:t>
        </w:r>
      </w:hyperlink>
      <w:r w:rsidR="00BA57C8" w:rsidRPr="00934E38">
        <w:rPr>
          <w:bCs/>
          <w:sz w:val="24"/>
          <w:szCs w:val="24"/>
          <w:lang w:val="ro-RO"/>
        </w:rPr>
        <w:t xml:space="preserve"> </w:t>
      </w:r>
      <w:hyperlink r:id="rId15" w:anchor="26339634" w:history="1">
        <w:r w:rsidR="00BA57C8" w:rsidRPr="00934E38">
          <w:rPr>
            <w:rStyle w:val="Hyperlink"/>
            <w:bCs/>
            <w:color w:val="auto"/>
            <w:sz w:val="24"/>
            <w:szCs w:val="24"/>
            <w:u w:val="none"/>
            <w:lang w:val="ro-RO"/>
          </w:rPr>
          <w:t xml:space="preserve">active fixe corporale, aşa cum sunt reglementate de </w:t>
        </w:r>
        <w:hyperlink r:id="rId16" w:anchor="26339640" w:history="1">
          <w:r w:rsidR="00BA57C8" w:rsidRPr="00934E38">
            <w:rPr>
              <w:rStyle w:val="Hyperlink"/>
              <w:bCs/>
              <w:color w:val="auto"/>
              <w:sz w:val="24"/>
              <w:szCs w:val="24"/>
              <w:u w:val="none"/>
              <w:lang w:val="ro-RO"/>
            </w:rPr>
            <w:t>Hotărârea Guvernului nr. 2.139/2004</w:t>
          </w:r>
        </w:hyperlink>
        <w:r w:rsidR="00BA57C8" w:rsidRPr="00934E38">
          <w:rPr>
            <w:rStyle w:val="Hyperlink"/>
            <w:bCs/>
            <w:color w:val="auto"/>
            <w:sz w:val="24"/>
            <w:szCs w:val="24"/>
            <w:u w:val="none"/>
            <w:lang w:val="ro-RO"/>
          </w:rPr>
          <w:t xml:space="preserve"> pentru aprobarea Catalogului privind clasificarea şi duratele normale de funcţionare a mijloacelor fixe, cu modificările şi completările ulterioare</w:t>
        </w:r>
      </w:hyperlink>
      <w:r w:rsidR="00BA57C8" w:rsidRPr="00934E38">
        <w:rPr>
          <w:bCs/>
          <w:sz w:val="24"/>
          <w:szCs w:val="24"/>
          <w:lang w:val="ro-RO"/>
        </w:rPr>
        <w:t>.</w:t>
      </w:r>
    </w:p>
    <w:p w:rsidR="00BA57C8" w:rsidRPr="00934E38" w:rsidRDefault="00BA57C8" w:rsidP="00BA57C8">
      <w:pPr>
        <w:ind w:firstLine="720"/>
        <w:jc w:val="both"/>
        <w:rPr>
          <w:sz w:val="24"/>
          <w:szCs w:val="24"/>
          <w:lang w:val="ro-RO"/>
        </w:rPr>
      </w:pPr>
      <w:r w:rsidRPr="00934E38">
        <w:rPr>
          <w:bCs/>
          <w:sz w:val="24"/>
          <w:szCs w:val="24"/>
          <w:lang w:val="ro-RO"/>
        </w:rPr>
        <w:t xml:space="preserve">În Catalogul privind clasificarea şi duratele normalede funcţionare a mijloacelor fixe aprobat prin </w:t>
      </w:r>
      <w:hyperlink r:id="rId17" w:anchor="26339640" w:history="1">
        <w:r w:rsidRPr="00934E38">
          <w:rPr>
            <w:rStyle w:val="Hyperlink"/>
            <w:bCs/>
            <w:color w:val="auto"/>
            <w:sz w:val="24"/>
            <w:szCs w:val="24"/>
            <w:u w:val="none"/>
            <w:lang w:val="ro-RO"/>
          </w:rPr>
          <w:t>Hotărârea Guvernului nr. 2.139/2004</w:t>
        </w:r>
      </w:hyperlink>
      <w:r w:rsidRPr="00934E38">
        <w:rPr>
          <w:rStyle w:val="Hyperlink"/>
          <w:bCs/>
          <w:color w:val="auto"/>
          <w:sz w:val="24"/>
          <w:szCs w:val="24"/>
          <w:u w:val="none"/>
          <w:lang w:val="ro-RO"/>
        </w:rPr>
        <w:t xml:space="preserve">, se regăsesc, în grupa 2, subgrupa 2.3.5 – Mijloace de transport electric urban pe sine, 2.3.5.1. </w:t>
      </w:r>
      <w:r w:rsidRPr="00934E38">
        <w:rPr>
          <w:sz w:val="24"/>
          <w:szCs w:val="24"/>
          <w:lang w:val="ro-RO"/>
        </w:rPr>
        <w:t>Mijloace de transport electric urban pe şine.</w:t>
      </w:r>
    </w:p>
    <w:p w:rsidR="00BA57C8" w:rsidRPr="00934E38" w:rsidRDefault="00BA57C8" w:rsidP="00BA57C8">
      <w:pPr>
        <w:ind w:firstLine="720"/>
        <w:jc w:val="both"/>
        <w:rPr>
          <w:bCs/>
          <w:sz w:val="24"/>
          <w:szCs w:val="24"/>
          <w:lang w:val="ro-RO"/>
        </w:rPr>
      </w:pPr>
      <w:r w:rsidRPr="00934E38">
        <w:rPr>
          <w:sz w:val="24"/>
          <w:szCs w:val="24"/>
          <w:lang w:val="ro-RO"/>
        </w:rPr>
        <w:t>Preţul contractului de furnizare nr. 103/2019 nu a fost ajustat, acesta a fost modificat prin achiziţia unui număr suplimentar de 5 tramvaie conform clauzelor acestuia,</w:t>
      </w:r>
      <w:r w:rsidRPr="00934E38">
        <w:rPr>
          <w:bCs/>
          <w:sz w:val="24"/>
          <w:szCs w:val="24"/>
          <w:lang w:val="ro-RO"/>
        </w:rPr>
        <w:t xml:space="preserve"> prin actul adiţional nr. 1/04.06.2020, respectiv preţul fiind majorat cu 48.684.375 lei, fără TVA. Astfel, preţul curent al contractului </w:t>
      </w:r>
      <w:r w:rsidRPr="008F49DA">
        <w:rPr>
          <w:bCs/>
          <w:sz w:val="24"/>
          <w:szCs w:val="24"/>
          <w:lang w:val="ro-RO"/>
        </w:rPr>
        <w:t>este 204.474.375,00</w:t>
      </w:r>
      <w:r w:rsidRPr="00934E38">
        <w:rPr>
          <w:bCs/>
          <w:sz w:val="24"/>
          <w:szCs w:val="24"/>
          <w:lang w:val="ro-RO"/>
        </w:rPr>
        <w:t xml:space="preserve"> lei, fără TVA.</w:t>
      </w:r>
    </w:p>
    <w:p w:rsidR="00BA57C8" w:rsidRPr="009C1BD6" w:rsidRDefault="00BA57C8" w:rsidP="00BA57C8">
      <w:pPr>
        <w:ind w:firstLine="720"/>
        <w:jc w:val="both"/>
        <w:rPr>
          <w:bCs/>
          <w:sz w:val="24"/>
          <w:szCs w:val="24"/>
          <w:lang w:val="ro-RO"/>
        </w:rPr>
      </w:pPr>
      <w:r w:rsidRPr="00934E38">
        <w:rPr>
          <w:bCs/>
          <w:sz w:val="24"/>
          <w:szCs w:val="24"/>
          <w:lang w:val="ro-RO"/>
        </w:rPr>
        <w:t xml:space="preserve">Conform clauzelor contractului, cantitatea care urmează a fi furnizată prin contractul de furnizare nr. 103/2019 este de 16 bucăţi, cu </w:t>
      </w:r>
      <w:r w:rsidRPr="009C1BD6">
        <w:rPr>
          <w:bCs/>
          <w:sz w:val="24"/>
          <w:szCs w:val="24"/>
          <w:lang w:val="ro-RO"/>
        </w:rPr>
        <w:t>po</w:t>
      </w:r>
      <w:r w:rsidR="007C55EE" w:rsidRPr="009C1BD6">
        <w:rPr>
          <w:bCs/>
          <w:sz w:val="24"/>
          <w:szCs w:val="24"/>
          <w:lang w:val="ro-RO"/>
        </w:rPr>
        <w:t>sibilitatea de suplimentare cu încă</w:t>
      </w:r>
      <w:r w:rsidRPr="009C1BD6">
        <w:rPr>
          <w:bCs/>
          <w:sz w:val="24"/>
          <w:szCs w:val="24"/>
          <w:lang w:val="ro-RO"/>
        </w:rPr>
        <w:t xml:space="preserve"> 24 </w:t>
      </w:r>
      <w:r w:rsidR="007C55EE" w:rsidRPr="009C1BD6">
        <w:rPr>
          <w:bCs/>
          <w:sz w:val="24"/>
          <w:szCs w:val="24"/>
          <w:lang w:val="ro-RO"/>
        </w:rPr>
        <w:t>de</w:t>
      </w:r>
      <w:r w:rsidRPr="009C1BD6">
        <w:rPr>
          <w:bCs/>
          <w:sz w:val="24"/>
          <w:szCs w:val="24"/>
          <w:lang w:val="ro-RO"/>
        </w:rPr>
        <w:t xml:space="preserve"> tramvaie în baza art. 221 alin (1) litera a) din Legea nr. 98/2016, cu toate completările şi modificările ulterioare. </w:t>
      </w:r>
    </w:p>
    <w:p w:rsidR="00BA57C8" w:rsidRPr="009C1BD6" w:rsidRDefault="00BA57C8" w:rsidP="00BA57C8">
      <w:pPr>
        <w:ind w:firstLine="720"/>
        <w:jc w:val="both"/>
        <w:rPr>
          <w:bCs/>
          <w:sz w:val="24"/>
          <w:szCs w:val="24"/>
          <w:lang w:val="ro-RO"/>
        </w:rPr>
      </w:pPr>
      <w:r w:rsidRPr="009C1BD6">
        <w:rPr>
          <w:bCs/>
          <w:sz w:val="24"/>
          <w:szCs w:val="24"/>
          <w:lang w:val="ro-RO"/>
        </w:rPr>
        <w:t>Până la data întocmirii prezentei au fost achitate un număr de 6 tramvaie, urmând a fi a livrate un număr de 15 tramvaie pentru care se ajustează valoarea contractului nr. 103/2019. Astfel, restul rămas de executat este 146.053.125,00 lei, fără TVA.</w:t>
      </w:r>
    </w:p>
    <w:p w:rsidR="00BA57C8" w:rsidRPr="00934E38" w:rsidRDefault="00BA57C8" w:rsidP="00BA57C8">
      <w:pPr>
        <w:ind w:firstLine="720"/>
        <w:jc w:val="both"/>
        <w:rPr>
          <w:sz w:val="24"/>
          <w:szCs w:val="24"/>
          <w:shd w:val="clear" w:color="auto" w:fill="FFFFFF"/>
          <w:lang w:val="ro-RO"/>
        </w:rPr>
      </w:pPr>
      <w:r w:rsidRPr="009C1BD6">
        <w:rPr>
          <w:rStyle w:val="salnbdy"/>
          <w:rFonts w:ascii="Times New Roman" w:hAnsi="Times New Roman"/>
          <w:color w:val="auto"/>
          <w:sz w:val="24"/>
          <w:szCs w:val="24"/>
          <w:lang w:val="ro-RO"/>
        </w:rPr>
        <w:t>Ajustarea stabilită conform prevederilor Ordonanţe</w:t>
      </w:r>
      <w:r w:rsidR="007C55EE" w:rsidRPr="009C1BD6">
        <w:rPr>
          <w:rStyle w:val="salnbdy"/>
          <w:rFonts w:ascii="Times New Roman" w:hAnsi="Times New Roman"/>
          <w:color w:val="auto"/>
          <w:sz w:val="24"/>
          <w:szCs w:val="24"/>
          <w:lang w:val="ro-RO"/>
        </w:rPr>
        <w:t>i</w:t>
      </w:r>
      <w:r w:rsidR="009C1BD6" w:rsidRPr="009C1BD6">
        <w:rPr>
          <w:rStyle w:val="salnbdy"/>
          <w:rFonts w:ascii="Times New Roman" w:hAnsi="Times New Roman"/>
          <w:color w:val="auto"/>
          <w:sz w:val="24"/>
          <w:szCs w:val="24"/>
          <w:lang w:val="ro-RO"/>
        </w:rPr>
        <w:t xml:space="preserve"> de U</w:t>
      </w:r>
      <w:r w:rsidRPr="009C1BD6">
        <w:rPr>
          <w:rStyle w:val="salnbdy"/>
          <w:rFonts w:ascii="Times New Roman" w:hAnsi="Times New Roman"/>
          <w:color w:val="auto"/>
          <w:sz w:val="24"/>
          <w:szCs w:val="24"/>
          <w:lang w:val="ro-RO"/>
        </w:rPr>
        <w:t>rgenţă nr. 64/2022 se</w:t>
      </w:r>
      <w:r w:rsidRPr="00934E38">
        <w:rPr>
          <w:rStyle w:val="salnbdy"/>
          <w:rFonts w:ascii="Times New Roman" w:hAnsi="Times New Roman"/>
          <w:color w:val="auto"/>
          <w:sz w:val="24"/>
          <w:szCs w:val="24"/>
          <w:lang w:val="ro-RO"/>
        </w:rPr>
        <w:t xml:space="preserve"> realizează exclusiv pentru restul rămas de furnizat la data intrării în vigoare a acesteia, până la furnizarea integrală şi recepţionarea produselor achiziţionate, conform prevederilor contractuale aferente proiectului de investiţii ,,Înnoirea flotei de tramvaie”.</w:t>
      </w:r>
    </w:p>
    <w:p w:rsidR="00BA57C8" w:rsidRPr="00934E38" w:rsidRDefault="00BA57C8" w:rsidP="00BA57C8">
      <w:pPr>
        <w:ind w:firstLine="720"/>
        <w:jc w:val="both"/>
        <w:rPr>
          <w:rStyle w:val="salnbdy"/>
          <w:rFonts w:ascii="Times New Roman" w:hAnsi="Times New Roman"/>
          <w:color w:val="auto"/>
          <w:sz w:val="24"/>
          <w:szCs w:val="24"/>
          <w:lang w:val="ro-RO"/>
        </w:rPr>
      </w:pPr>
      <w:r w:rsidRPr="00934E38">
        <w:rPr>
          <w:rStyle w:val="salnbdy"/>
          <w:rFonts w:ascii="Times New Roman" w:hAnsi="Times New Roman"/>
          <w:color w:val="auto"/>
          <w:sz w:val="24"/>
          <w:szCs w:val="24"/>
          <w:lang w:val="ro-RO"/>
        </w:rPr>
        <w:t>Ajustarea se aplică la fiecare solicitare de plată, pe restul perioadei de derulare a contractului pentru următoarele categorii de contracte:</w:t>
      </w:r>
    </w:p>
    <w:p w:rsidR="00BA57C8" w:rsidRPr="00934E38" w:rsidRDefault="00BA57C8" w:rsidP="00BA57C8">
      <w:pPr>
        <w:jc w:val="both"/>
        <w:rPr>
          <w:sz w:val="24"/>
          <w:szCs w:val="24"/>
          <w:shd w:val="clear" w:color="auto" w:fill="FFFFFF"/>
          <w:lang w:val="ro-RO"/>
        </w:rPr>
      </w:pPr>
      <w:r w:rsidRPr="00934E38">
        <w:rPr>
          <w:rStyle w:val="slitttl1"/>
          <w:rFonts w:ascii="Times New Roman" w:hAnsi="Times New Roman"/>
          <w:b w:val="0"/>
          <w:color w:val="auto"/>
          <w:sz w:val="24"/>
          <w:szCs w:val="24"/>
          <w:lang w:val="ro-RO"/>
        </w:rPr>
        <w:t xml:space="preserve">b) </w:t>
      </w:r>
      <w:r w:rsidRPr="00934E38">
        <w:rPr>
          <w:rStyle w:val="slitbdy"/>
          <w:rFonts w:ascii="Times New Roman" w:hAnsi="Times New Roman"/>
          <w:color w:val="auto"/>
          <w:sz w:val="24"/>
          <w:szCs w:val="24"/>
          <w:lang w:val="ro-RO"/>
        </w:rPr>
        <w:t xml:space="preserve">contractele definite potrivit </w:t>
      </w:r>
      <w:r w:rsidRPr="00934E38">
        <w:rPr>
          <w:rStyle w:val="slgi1"/>
          <w:rFonts w:ascii="Times New Roman" w:hAnsi="Times New Roman"/>
          <w:color w:val="auto"/>
          <w:sz w:val="24"/>
          <w:szCs w:val="24"/>
          <w:u w:val="none"/>
          <w:lang w:val="ro-RO"/>
        </w:rPr>
        <w:t>art. 3 alin. (2) lit. b)</w:t>
      </w:r>
      <w:r w:rsidRPr="00934E38">
        <w:rPr>
          <w:rStyle w:val="slitbdy"/>
          <w:rFonts w:ascii="Times New Roman" w:hAnsi="Times New Roman"/>
          <w:color w:val="auto"/>
          <w:sz w:val="24"/>
          <w:szCs w:val="24"/>
          <w:lang w:val="ro-RO"/>
        </w:rPr>
        <w:t xml:space="preserve"> încheiate cu preţ ferm sau cu preţ ferm şi formulă de ajustare a preţului sau cu formulă de ajustare a preţului, dacă formula de ajustare a preţului prevăzută de prezenta ordonanţă de urgenţă este necesară pentru reechilibrarea condiţiilor contractuale şi finalizarea implementării proiectelor.</w:t>
      </w:r>
    </w:p>
    <w:p w:rsidR="00BA57C8" w:rsidRPr="00934E38" w:rsidRDefault="00715D98" w:rsidP="00D33AD1">
      <w:pPr>
        <w:tabs>
          <w:tab w:val="left" w:pos="720"/>
        </w:tabs>
        <w:jc w:val="both"/>
        <w:rPr>
          <w:bCs/>
          <w:color w:val="000000" w:themeColor="text1"/>
          <w:sz w:val="24"/>
          <w:szCs w:val="24"/>
          <w:lang w:val="ro-RO"/>
        </w:rPr>
      </w:pPr>
      <w:r w:rsidRPr="00934E38">
        <w:rPr>
          <w:bCs/>
          <w:color w:val="000000" w:themeColor="text1"/>
          <w:sz w:val="24"/>
          <w:szCs w:val="24"/>
          <w:lang w:val="ro-RO"/>
        </w:rPr>
        <w:tab/>
        <w:t xml:space="preserve">În conformitate cu prevederile art. 9 din OUG nr. 64/2022: </w:t>
      </w:r>
    </w:p>
    <w:p w:rsidR="00715D98" w:rsidRPr="00934E38" w:rsidRDefault="00ED7CA8" w:rsidP="00715D98">
      <w:pPr>
        <w:jc w:val="both"/>
        <w:rPr>
          <w:rStyle w:val="Hyperlink"/>
          <w:color w:val="auto"/>
          <w:sz w:val="24"/>
          <w:szCs w:val="24"/>
          <w:shd w:val="clear" w:color="auto" w:fill="FFFFFF"/>
          <w:lang w:val="ro-RO"/>
        </w:rPr>
      </w:pPr>
      <w:hyperlink r:id="rId18" w:anchor="26339769" w:history="1">
        <w:r w:rsidR="00715D98" w:rsidRPr="00934E38">
          <w:rPr>
            <w:rStyle w:val="Hyperlink"/>
            <w:b/>
            <w:bCs/>
            <w:color w:val="auto"/>
            <w:sz w:val="24"/>
            <w:szCs w:val="24"/>
            <w:u w:val="none"/>
            <w:shd w:val="clear" w:color="auto" w:fill="FFFFFF"/>
            <w:lang w:val="ro-RO"/>
          </w:rPr>
          <w:t xml:space="preserve">- </w:t>
        </w:r>
        <w:r w:rsidR="00684A9C" w:rsidRPr="00934E38">
          <w:rPr>
            <w:rStyle w:val="salnbdy"/>
            <w:rFonts w:ascii="Times New Roman" w:hAnsi="Times New Roman"/>
            <w:color w:val="auto"/>
            <w:sz w:val="24"/>
            <w:szCs w:val="24"/>
            <w:lang w:val="ro-RO"/>
          </w:rPr>
          <w:t>b</w:t>
        </w:r>
        <w:r w:rsidR="00715D98" w:rsidRPr="00934E38">
          <w:rPr>
            <w:rStyle w:val="salnbdy"/>
            <w:rFonts w:ascii="Times New Roman" w:hAnsi="Times New Roman"/>
            <w:color w:val="auto"/>
            <w:sz w:val="24"/>
            <w:szCs w:val="24"/>
            <w:lang w:val="ro-RO"/>
          </w:rPr>
          <w:t>eneficiarii fon</w:t>
        </w:r>
        <w:r w:rsidR="00684A9C" w:rsidRPr="00934E38">
          <w:rPr>
            <w:rStyle w:val="salnbdy"/>
            <w:rFonts w:ascii="Times New Roman" w:hAnsi="Times New Roman"/>
            <w:color w:val="auto"/>
            <w:sz w:val="24"/>
            <w:szCs w:val="24"/>
            <w:lang w:val="ro-RO"/>
          </w:rPr>
          <w:t>durilor externe nerambursabile</w:t>
        </w:r>
        <w:r w:rsidR="00715D98" w:rsidRPr="00934E38">
          <w:rPr>
            <w:rStyle w:val="salnbdy"/>
            <w:rFonts w:ascii="Times New Roman" w:hAnsi="Times New Roman"/>
            <w:color w:val="auto"/>
            <w:sz w:val="24"/>
            <w:szCs w:val="24"/>
            <w:lang w:val="ro-RO"/>
          </w:rPr>
          <w:t xml:space="preserve"> constituie o rezervă de implementare, în limitele şi condiţiile prevăzute de ordonanţ</w:t>
        </w:r>
        <w:r w:rsidR="00684A9C" w:rsidRPr="00934E38">
          <w:rPr>
            <w:rStyle w:val="salnbdy"/>
            <w:rFonts w:ascii="Times New Roman" w:hAnsi="Times New Roman"/>
            <w:color w:val="auto"/>
            <w:sz w:val="24"/>
            <w:szCs w:val="24"/>
            <w:lang w:val="ro-RO"/>
          </w:rPr>
          <w:t>a</w:t>
        </w:r>
        <w:r w:rsidR="00715D98" w:rsidRPr="00934E38">
          <w:rPr>
            <w:rStyle w:val="salnbdy"/>
            <w:rFonts w:ascii="Times New Roman" w:hAnsi="Times New Roman"/>
            <w:color w:val="auto"/>
            <w:sz w:val="24"/>
            <w:szCs w:val="24"/>
            <w:lang w:val="ro-RO"/>
          </w:rPr>
          <w:t xml:space="preserve"> de urgenţă, destinată plăţii ajustărilor de preţ ale con</w:t>
        </w:r>
        <w:r w:rsidR="00684A9C" w:rsidRPr="00934E38">
          <w:rPr>
            <w:rStyle w:val="salnbdy"/>
            <w:rFonts w:ascii="Times New Roman" w:hAnsi="Times New Roman"/>
            <w:color w:val="auto"/>
            <w:sz w:val="24"/>
            <w:szCs w:val="24"/>
            <w:lang w:val="ro-RO"/>
          </w:rPr>
          <w:t>tractelor de achiziţie publică</w:t>
        </w:r>
        <w:r w:rsidR="00715D98" w:rsidRPr="00934E38">
          <w:rPr>
            <w:rStyle w:val="salnbdy"/>
            <w:rFonts w:ascii="Times New Roman" w:hAnsi="Times New Roman"/>
            <w:color w:val="auto"/>
            <w:sz w:val="24"/>
            <w:szCs w:val="24"/>
            <w:lang w:val="ro-RO"/>
          </w:rPr>
          <w:t xml:space="preserve"> prin încheierea de act adiţional la contractul de achiziţie publică, în limitele şi condiţiile prevăzute de prezenta ordonanţă de urgenţă.</w:t>
        </w:r>
      </w:hyperlink>
    </w:p>
    <w:p w:rsidR="00715D98" w:rsidRPr="00934E38" w:rsidRDefault="00ED7CA8" w:rsidP="00715D98">
      <w:pPr>
        <w:jc w:val="both"/>
        <w:rPr>
          <w:rStyle w:val="Hyperlink"/>
          <w:color w:val="auto"/>
          <w:sz w:val="24"/>
          <w:szCs w:val="24"/>
          <w:shd w:val="clear" w:color="auto" w:fill="FFFFFF"/>
          <w:lang w:val="ro-RO"/>
        </w:rPr>
      </w:pPr>
      <w:hyperlink r:id="rId19" w:anchor="26339769" w:history="1">
        <w:r w:rsidR="00684A9C" w:rsidRPr="00934E38">
          <w:rPr>
            <w:rStyle w:val="Hyperlink"/>
            <w:b/>
            <w:bCs/>
            <w:color w:val="auto"/>
            <w:sz w:val="24"/>
            <w:szCs w:val="24"/>
            <w:u w:val="none"/>
            <w:shd w:val="clear" w:color="auto" w:fill="FFFFFF"/>
            <w:lang w:val="ro-RO"/>
          </w:rPr>
          <w:t xml:space="preserve">- </w:t>
        </w:r>
        <w:r w:rsidR="00684A9C" w:rsidRPr="00934E38">
          <w:rPr>
            <w:rStyle w:val="salnbdy"/>
            <w:rFonts w:ascii="Times New Roman" w:hAnsi="Times New Roman"/>
            <w:color w:val="auto"/>
            <w:sz w:val="24"/>
            <w:szCs w:val="24"/>
            <w:lang w:val="ro-RO"/>
          </w:rPr>
          <w:t>b</w:t>
        </w:r>
        <w:r w:rsidR="00715D98" w:rsidRPr="00934E38">
          <w:rPr>
            <w:rStyle w:val="salnbdy"/>
            <w:rFonts w:ascii="Times New Roman" w:hAnsi="Times New Roman"/>
            <w:color w:val="auto"/>
            <w:sz w:val="24"/>
            <w:szCs w:val="24"/>
            <w:lang w:val="ro-RO"/>
          </w:rPr>
          <w:t xml:space="preserve">eneficiarii fondurilor externe nerambursabile încheie acte adiţionale la contractele de achiziţie după parcurgerea etapelor prevăzute la </w:t>
        </w:r>
        <w:r w:rsidR="00715D98" w:rsidRPr="00934E38">
          <w:rPr>
            <w:rStyle w:val="slgi1"/>
            <w:rFonts w:ascii="Times New Roman" w:hAnsi="Times New Roman"/>
            <w:color w:val="auto"/>
            <w:sz w:val="24"/>
            <w:szCs w:val="24"/>
            <w:lang w:val="ro-RO"/>
          </w:rPr>
          <w:t>art. 10</w:t>
        </w:r>
        <w:r w:rsidR="00715D98" w:rsidRPr="00934E38">
          <w:rPr>
            <w:rStyle w:val="salnbdy"/>
            <w:rFonts w:ascii="Times New Roman" w:hAnsi="Times New Roman"/>
            <w:color w:val="auto"/>
            <w:sz w:val="24"/>
            <w:szCs w:val="24"/>
            <w:lang w:val="ro-RO"/>
          </w:rPr>
          <w:t>.</w:t>
        </w:r>
      </w:hyperlink>
    </w:p>
    <w:p w:rsidR="00715D98" w:rsidRPr="00934E38" w:rsidRDefault="00ED7CA8" w:rsidP="00715D98">
      <w:pPr>
        <w:jc w:val="both"/>
        <w:rPr>
          <w:rStyle w:val="Hyperlink"/>
          <w:color w:val="auto"/>
          <w:sz w:val="24"/>
          <w:szCs w:val="24"/>
          <w:shd w:val="clear" w:color="auto" w:fill="FFFFFF"/>
          <w:lang w:val="ro-RO"/>
        </w:rPr>
      </w:pPr>
      <w:hyperlink r:id="rId20" w:anchor="26339769" w:history="1">
        <w:r w:rsidR="00684A9C" w:rsidRPr="00934E38">
          <w:rPr>
            <w:rStyle w:val="Hyperlink"/>
            <w:b/>
            <w:bCs/>
            <w:color w:val="auto"/>
            <w:sz w:val="24"/>
            <w:szCs w:val="24"/>
            <w:u w:val="none"/>
            <w:shd w:val="clear" w:color="auto" w:fill="FFFFFF"/>
            <w:lang w:val="ro-RO"/>
          </w:rPr>
          <w:t>-</w:t>
        </w:r>
        <w:r w:rsidR="00684A9C" w:rsidRPr="00934E38">
          <w:rPr>
            <w:rStyle w:val="salnbdy"/>
            <w:rFonts w:ascii="Times New Roman" w:hAnsi="Times New Roman"/>
            <w:color w:val="auto"/>
            <w:sz w:val="24"/>
            <w:szCs w:val="24"/>
            <w:lang w:val="ro-RO"/>
          </w:rPr>
          <w:t xml:space="preserve"> r</w:t>
        </w:r>
        <w:r w:rsidR="00715D98" w:rsidRPr="00934E38">
          <w:rPr>
            <w:rStyle w:val="salnbdy"/>
            <w:rFonts w:ascii="Times New Roman" w:hAnsi="Times New Roman"/>
            <w:color w:val="auto"/>
            <w:sz w:val="24"/>
            <w:szCs w:val="24"/>
            <w:lang w:val="ro-RO"/>
          </w:rPr>
          <w:t>ezerva de implementare pentru reechilibrarea contractelor se constituie iniţial, în procent de până la 23% din valoarea restului de executat a contractului de achiziţie, la momentul intrării în vigoare a ordonanţe</w:t>
        </w:r>
        <w:r w:rsidR="00684A9C" w:rsidRPr="00934E38">
          <w:rPr>
            <w:rStyle w:val="salnbdy"/>
            <w:rFonts w:ascii="Times New Roman" w:hAnsi="Times New Roman"/>
            <w:color w:val="auto"/>
            <w:sz w:val="24"/>
            <w:szCs w:val="24"/>
            <w:lang w:val="ro-RO"/>
          </w:rPr>
          <w:t>i</w:t>
        </w:r>
        <w:r w:rsidR="00715D98" w:rsidRPr="00934E38">
          <w:rPr>
            <w:rStyle w:val="salnbdy"/>
            <w:rFonts w:ascii="Times New Roman" w:hAnsi="Times New Roman"/>
            <w:color w:val="auto"/>
            <w:sz w:val="24"/>
            <w:szCs w:val="24"/>
            <w:lang w:val="ro-RO"/>
          </w:rPr>
          <w:t xml:space="preserve"> de urgenţă şi poate fi utilizată numai pentru plata diferenţelor de preţ aferente ajustării preţului contractelor de achiziţie, fără a depăşi pragurile stabilite </w:t>
        </w:r>
        <w:r w:rsidR="00684A9C" w:rsidRPr="00934E38">
          <w:rPr>
            <w:rStyle w:val="salnbdy"/>
            <w:rFonts w:ascii="Times New Roman" w:hAnsi="Times New Roman"/>
            <w:color w:val="auto"/>
            <w:sz w:val="24"/>
            <w:szCs w:val="24"/>
            <w:lang w:val="ro-RO"/>
          </w:rPr>
          <w:t>de lege (50% din valoarea contractului)</w:t>
        </w:r>
        <w:r w:rsidR="00715D98" w:rsidRPr="00934E38">
          <w:rPr>
            <w:rStyle w:val="salnbdy"/>
            <w:rFonts w:ascii="Times New Roman" w:hAnsi="Times New Roman"/>
            <w:color w:val="auto"/>
            <w:sz w:val="24"/>
            <w:szCs w:val="24"/>
            <w:lang w:val="ro-RO"/>
          </w:rPr>
          <w:t>.</w:t>
        </w:r>
      </w:hyperlink>
    </w:p>
    <w:p w:rsidR="00715D98" w:rsidRPr="00934E38" w:rsidRDefault="00ED7CA8" w:rsidP="00715D98">
      <w:pPr>
        <w:jc w:val="both"/>
        <w:rPr>
          <w:rStyle w:val="Hyperlink"/>
          <w:color w:val="auto"/>
          <w:sz w:val="24"/>
          <w:szCs w:val="24"/>
          <w:shd w:val="clear" w:color="auto" w:fill="FFFFFF"/>
          <w:lang w:val="ro-RO"/>
        </w:rPr>
      </w:pPr>
      <w:hyperlink r:id="rId21" w:anchor="26339769" w:history="1">
        <w:r w:rsidR="00684A9C" w:rsidRPr="00934E38">
          <w:rPr>
            <w:rStyle w:val="Hyperlink"/>
            <w:bCs/>
            <w:color w:val="auto"/>
            <w:sz w:val="24"/>
            <w:szCs w:val="24"/>
            <w:u w:val="none"/>
            <w:shd w:val="clear" w:color="auto" w:fill="FFFFFF"/>
            <w:lang w:val="ro-RO"/>
          </w:rPr>
          <w:t>- p</w:t>
        </w:r>
        <w:r w:rsidR="00715D98" w:rsidRPr="00934E38">
          <w:rPr>
            <w:rStyle w:val="salnbdy"/>
            <w:rFonts w:ascii="Times New Roman" w:hAnsi="Times New Roman"/>
            <w:color w:val="auto"/>
            <w:sz w:val="24"/>
            <w:szCs w:val="24"/>
            <w:lang w:val="ro-RO"/>
          </w:rPr>
          <w:t xml:space="preserve">e parcursul derulării contractelor, rezerva de implementare destinată plăţii ajustărilor de preţ se poate suplimenta cu procente de până la 10% din valoarea restului de executat a contractului de achiziţie, la data solicitării, prin încheierea de acte adiţionale la contracte, fără a depăşi pragurile </w:t>
        </w:r>
        <w:r w:rsidR="00684A9C" w:rsidRPr="00934E38">
          <w:rPr>
            <w:rStyle w:val="salnbdy"/>
            <w:rFonts w:ascii="Times New Roman" w:hAnsi="Times New Roman"/>
            <w:color w:val="auto"/>
            <w:sz w:val="24"/>
            <w:szCs w:val="24"/>
            <w:lang w:val="ro-RO"/>
          </w:rPr>
          <w:t xml:space="preserve">stabilite de lege (50% din valoarea </w:t>
        </w:r>
      </w:hyperlink>
      <w:r w:rsidR="00684A9C" w:rsidRPr="00934E38">
        <w:rPr>
          <w:sz w:val="24"/>
          <w:szCs w:val="24"/>
          <w:lang w:val="ro-RO"/>
        </w:rPr>
        <w:t xml:space="preserve"> </w:t>
      </w:r>
      <w:r w:rsidR="00684A9C" w:rsidRPr="00934E38">
        <w:rPr>
          <w:rStyle w:val="salnttl1"/>
          <w:rFonts w:ascii="Times New Roman" w:hAnsi="Times New Roman"/>
          <w:b w:val="0"/>
          <w:color w:val="auto"/>
          <w:sz w:val="24"/>
          <w:szCs w:val="24"/>
          <w:lang w:val="ro-RO"/>
        </w:rPr>
        <w:t>contractului).</w:t>
      </w:r>
    </w:p>
    <w:p w:rsidR="00715D98" w:rsidRPr="00934E38" w:rsidRDefault="00ED7CA8" w:rsidP="00715D98">
      <w:pPr>
        <w:jc w:val="both"/>
        <w:rPr>
          <w:rStyle w:val="Hyperlink"/>
          <w:b/>
          <w:color w:val="auto"/>
          <w:sz w:val="24"/>
          <w:szCs w:val="24"/>
          <w:shd w:val="clear" w:color="auto" w:fill="FFFFFF"/>
          <w:lang w:val="ro-RO"/>
        </w:rPr>
      </w:pPr>
      <w:hyperlink r:id="rId22" w:anchor="26339769" w:history="1">
        <w:r w:rsidR="00BF68F7" w:rsidRPr="00934E38">
          <w:rPr>
            <w:rStyle w:val="salnttl1"/>
            <w:rFonts w:ascii="Times New Roman" w:hAnsi="Times New Roman"/>
            <w:color w:val="auto"/>
            <w:sz w:val="24"/>
            <w:szCs w:val="24"/>
            <w:lang w:val="ro-RO"/>
          </w:rPr>
          <w:t>-</w:t>
        </w:r>
        <w:r w:rsidR="00715D98" w:rsidRPr="00934E38">
          <w:rPr>
            <w:rStyle w:val="salnbdy"/>
            <w:rFonts w:ascii="Times New Roman" w:hAnsi="Times New Roman"/>
            <w:color w:val="auto"/>
            <w:sz w:val="24"/>
            <w:szCs w:val="24"/>
            <w:lang w:val="ro-RO"/>
          </w:rPr>
          <w:t xml:space="preserve"> </w:t>
        </w:r>
        <w:r w:rsidR="00BF68F7" w:rsidRPr="00934E38">
          <w:rPr>
            <w:rStyle w:val="salnbdy"/>
            <w:rFonts w:ascii="Times New Roman" w:hAnsi="Times New Roman"/>
            <w:color w:val="auto"/>
            <w:sz w:val="24"/>
            <w:szCs w:val="24"/>
            <w:lang w:val="ro-RO"/>
          </w:rPr>
          <w:t>s</w:t>
        </w:r>
        <w:r w:rsidR="00715D98" w:rsidRPr="00934E38">
          <w:rPr>
            <w:rStyle w:val="salnbdy"/>
            <w:rFonts w:ascii="Times New Roman" w:hAnsi="Times New Roman"/>
            <w:color w:val="auto"/>
            <w:sz w:val="24"/>
            <w:szCs w:val="24"/>
            <w:lang w:val="ro-RO"/>
          </w:rPr>
          <w:t>uplimentarea rezervei de implementare poate avea loc numai dacă au fost efectuate plăţi de minimum 75% din valoarea rezervei. Suplimentarea rezervei de implementare nu poate c</w:t>
        </w:r>
        <w:r w:rsidR="00BF68F7" w:rsidRPr="00934E38">
          <w:rPr>
            <w:rStyle w:val="salnbdy"/>
            <w:rFonts w:ascii="Times New Roman" w:hAnsi="Times New Roman"/>
            <w:color w:val="auto"/>
            <w:sz w:val="24"/>
            <w:szCs w:val="24"/>
            <w:lang w:val="ro-RO"/>
          </w:rPr>
          <w:t>onduce la depăşirea pragurilor stabilite</w:t>
        </w:r>
      </w:hyperlink>
      <w:r w:rsidR="00BF68F7" w:rsidRPr="00934E38">
        <w:rPr>
          <w:rStyle w:val="salnttl1"/>
          <w:rFonts w:ascii="Times New Roman" w:hAnsi="Times New Roman"/>
          <w:color w:val="auto"/>
          <w:sz w:val="24"/>
          <w:szCs w:val="24"/>
          <w:lang w:val="ro-RO"/>
        </w:rPr>
        <w:t xml:space="preserve"> </w:t>
      </w:r>
      <w:r w:rsidR="00BF68F7" w:rsidRPr="00934E38">
        <w:rPr>
          <w:rStyle w:val="salnttl1"/>
          <w:rFonts w:ascii="Times New Roman" w:hAnsi="Times New Roman"/>
          <w:b w:val="0"/>
          <w:color w:val="auto"/>
          <w:sz w:val="24"/>
          <w:szCs w:val="24"/>
          <w:lang w:val="ro-RO"/>
        </w:rPr>
        <w:t>de lege (</w:t>
      </w:r>
      <w:r w:rsidR="00DF354D" w:rsidRPr="00934E38">
        <w:rPr>
          <w:rStyle w:val="salnttl1"/>
          <w:rFonts w:ascii="Times New Roman" w:hAnsi="Times New Roman"/>
          <w:b w:val="0"/>
          <w:color w:val="auto"/>
          <w:sz w:val="24"/>
          <w:szCs w:val="24"/>
          <w:lang w:val="ro-RO"/>
        </w:rPr>
        <w:t>50% din valoarea contractului).</w:t>
      </w:r>
    </w:p>
    <w:p w:rsidR="00715D98" w:rsidRPr="00934E38" w:rsidRDefault="00ED7CA8" w:rsidP="00715D98">
      <w:pPr>
        <w:jc w:val="both"/>
        <w:rPr>
          <w:rStyle w:val="Hyperlink"/>
          <w:color w:val="auto"/>
          <w:sz w:val="24"/>
          <w:szCs w:val="24"/>
          <w:shd w:val="clear" w:color="auto" w:fill="FFFFFF"/>
          <w:lang w:val="ro-RO"/>
        </w:rPr>
      </w:pPr>
      <w:hyperlink r:id="rId23" w:anchor="26339769" w:history="1">
        <w:r w:rsidR="00DF354D" w:rsidRPr="00934E38">
          <w:rPr>
            <w:rStyle w:val="salnttl1"/>
            <w:rFonts w:ascii="Times New Roman" w:hAnsi="Times New Roman"/>
            <w:color w:val="auto"/>
            <w:sz w:val="24"/>
            <w:szCs w:val="24"/>
            <w:lang w:val="ro-RO"/>
          </w:rPr>
          <w:t>-</w:t>
        </w:r>
        <w:r w:rsidR="00715D98" w:rsidRPr="00934E38">
          <w:rPr>
            <w:rStyle w:val="salnbdy"/>
            <w:rFonts w:ascii="Times New Roman" w:hAnsi="Times New Roman"/>
            <w:color w:val="auto"/>
            <w:sz w:val="24"/>
            <w:szCs w:val="24"/>
            <w:lang w:val="ro-RO"/>
          </w:rPr>
          <w:t xml:space="preserve"> </w:t>
        </w:r>
        <w:r w:rsidR="00DF354D" w:rsidRPr="00934E38">
          <w:rPr>
            <w:rStyle w:val="salnbdy"/>
            <w:rFonts w:ascii="Times New Roman" w:hAnsi="Times New Roman"/>
            <w:color w:val="auto"/>
            <w:sz w:val="24"/>
            <w:szCs w:val="24"/>
            <w:lang w:val="ro-RO"/>
          </w:rPr>
          <w:t>b</w:t>
        </w:r>
        <w:r w:rsidR="00715D98" w:rsidRPr="00934E38">
          <w:rPr>
            <w:rStyle w:val="salnbdy"/>
            <w:rFonts w:ascii="Times New Roman" w:hAnsi="Times New Roman"/>
            <w:color w:val="auto"/>
            <w:sz w:val="24"/>
            <w:szCs w:val="24"/>
            <w:lang w:val="ro-RO"/>
          </w:rPr>
          <w:t>eneficiarii fondurilor externe nerambursabile au obligaţia de a ţine o evidenţă distinctă a rezervei de implementare destinate plăţii ajustărilor de preţ, atât la momentul constituirii acesteia, cât şi ulterior, prin suplimentare şi operarea plăţilor necesare finanţării ajustărilor de preţ.</w:t>
        </w:r>
      </w:hyperlink>
    </w:p>
    <w:p w:rsidR="00715D98" w:rsidRPr="00934E38" w:rsidRDefault="00ED7CA8" w:rsidP="00715D98">
      <w:pPr>
        <w:jc w:val="both"/>
        <w:rPr>
          <w:rStyle w:val="Hyperlink"/>
          <w:color w:val="auto"/>
          <w:sz w:val="24"/>
          <w:szCs w:val="24"/>
          <w:shd w:val="clear" w:color="auto" w:fill="FFFFFF"/>
          <w:lang w:val="ro-RO"/>
        </w:rPr>
      </w:pPr>
      <w:hyperlink r:id="rId24" w:anchor="26339769" w:history="1">
        <w:r w:rsidR="00DF354D" w:rsidRPr="00934E38">
          <w:rPr>
            <w:rStyle w:val="Hyperlink"/>
            <w:bCs/>
            <w:color w:val="auto"/>
            <w:sz w:val="24"/>
            <w:szCs w:val="24"/>
            <w:u w:val="none"/>
            <w:shd w:val="clear" w:color="auto" w:fill="FFFFFF"/>
            <w:lang w:val="ro-RO"/>
          </w:rPr>
          <w:t>- r</w:t>
        </w:r>
        <w:r w:rsidR="00715D98" w:rsidRPr="00934E38">
          <w:rPr>
            <w:rStyle w:val="salnbdy"/>
            <w:rFonts w:ascii="Times New Roman" w:hAnsi="Times New Roman"/>
            <w:color w:val="auto"/>
            <w:sz w:val="24"/>
            <w:szCs w:val="24"/>
            <w:lang w:val="ro-RO"/>
          </w:rPr>
          <w:t xml:space="preserve">ezerva de implementare destinată finanţării ajustărilor de preţ face parte din valoarea investiţiei de bază şi se include în mod corespunzător în devizul general de investiţii reglementat de </w:t>
        </w:r>
        <w:hyperlink r:id="rId25" w:anchor="26339826" w:history="1">
          <w:r w:rsidR="00715D98" w:rsidRPr="00934E38">
            <w:rPr>
              <w:rStyle w:val="salnbdy"/>
              <w:rFonts w:ascii="Times New Roman" w:hAnsi="Times New Roman"/>
              <w:color w:val="auto"/>
              <w:sz w:val="24"/>
              <w:szCs w:val="24"/>
              <w:u w:val="single"/>
              <w:lang w:val="ro-RO"/>
            </w:rPr>
            <w:t>Hotărârea Guvernului nr. 907/2016</w:t>
          </w:r>
        </w:hyperlink>
        <w:r w:rsidR="00715D98" w:rsidRPr="00934E38">
          <w:rPr>
            <w:rStyle w:val="salnbdy"/>
            <w:rFonts w:ascii="Times New Roman" w:hAnsi="Times New Roman"/>
            <w:color w:val="auto"/>
            <w:sz w:val="24"/>
            <w:szCs w:val="24"/>
            <w:lang w:val="ro-RO"/>
          </w:rPr>
          <w:t>, cu modificările şi completările ulterioare.</w:t>
        </w:r>
      </w:hyperlink>
    </w:p>
    <w:p w:rsidR="00715D98" w:rsidRPr="00934E38" w:rsidRDefault="00ED7CA8" w:rsidP="00715D98">
      <w:pPr>
        <w:jc w:val="both"/>
        <w:rPr>
          <w:rStyle w:val="Hyperlink"/>
          <w:color w:val="auto"/>
          <w:sz w:val="24"/>
          <w:szCs w:val="24"/>
          <w:shd w:val="clear" w:color="auto" w:fill="FFFFFF"/>
          <w:lang w:val="ro-RO"/>
        </w:rPr>
      </w:pPr>
      <w:hyperlink r:id="rId26" w:anchor="26339826" w:history="1">
        <w:r w:rsidR="00DF354D" w:rsidRPr="00934E38">
          <w:rPr>
            <w:rStyle w:val="salnttl1"/>
            <w:rFonts w:ascii="Times New Roman" w:hAnsi="Times New Roman"/>
            <w:color w:val="auto"/>
            <w:sz w:val="24"/>
            <w:szCs w:val="24"/>
            <w:lang w:val="ro-RO"/>
          </w:rPr>
          <w:t>-</w:t>
        </w:r>
        <w:r w:rsidR="00715D98" w:rsidRPr="00934E38">
          <w:rPr>
            <w:rStyle w:val="salnbdy"/>
            <w:rFonts w:ascii="Times New Roman" w:hAnsi="Times New Roman"/>
            <w:color w:val="auto"/>
            <w:sz w:val="24"/>
            <w:szCs w:val="24"/>
            <w:lang w:val="ro-RO"/>
          </w:rPr>
          <w:t xml:space="preserve"> </w:t>
        </w:r>
        <w:r w:rsidR="00DF354D" w:rsidRPr="00934E38">
          <w:rPr>
            <w:rStyle w:val="salnbdy"/>
            <w:rFonts w:ascii="Times New Roman" w:hAnsi="Times New Roman"/>
            <w:color w:val="auto"/>
            <w:sz w:val="24"/>
            <w:szCs w:val="24"/>
            <w:lang w:val="ro-RO"/>
          </w:rPr>
          <w:t>r</w:t>
        </w:r>
        <w:r w:rsidR="00715D98" w:rsidRPr="00934E38">
          <w:rPr>
            <w:rStyle w:val="salnbdy"/>
            <w:rFonts w:ascii="Times New Roman" w:hAnsi="Times New Roman"/>
            <w:color w:val="auto"/>
            <w:sz w:val="24"/>
            <w:szCs w:val="24"/>
            <w:lang w:val="ro-RO"/>
          </w:rPr>
          <w:t xml:space="preserve">ezerva de implementare majorează valoarea costului investiţiei şi se include în indicatorii tehnico-economici ai investiţiei a căror valoare se regularizează potrivit </w:t>
        </w:r>
        <w:r w:rsidR="00715D98" w:rsidRPr="00934E38">
          <w:rPr>
            <w:rStyle w:val="slgi1"/>
            <w:rFonts w:ascii="Times New Roman" w:hAnsi="Times New Roman"/>
            <w:color w:val="auto"/>
            <w:sz w:val="24"/>
            <w:szCs w:val="24"/>
            <w:lang w:val="ro-RO"/>
          </w:rPr>
          <w:t>art. 11 alin. (6)</w:t>
        </w:r>
        <w:r w:rsidR="00715D98" w:rsidRPr="00934E38">
          <w:rPr>
            <w:rStyle w:val="salnbdy"/>
            <w:rFonts w:ascii="Times New Roman" w:hAnsi="Times New Roman"/>
            <w:color w:val="auto"/>
            <w:sz w:val="24"/>
            <w:szCs w:val="24"/>
            <w:lang w:val="ro-RO"/>
          </w:rPr>
          <w:t>.</w:t>
        </w:r>
      </w:hyperlink>
    </w:p>
    <w:p w:rsidR="00715D98" w:rsidRPr="00934E38" w:rsidRDefault="00ED7CA8" w:rsidP="00715D98">
      <w:pPr>
        <w:tabs>
          <w:tab w:val="left" w:pos="720"/>
        </w:tabs>
        <w:jc w:val="both"/>
        <w:rPr>
          <w:bCs/>
          <w:sz w:val="24"/>
          <w:szCs w:val="24"/>
          <w:lang w:val="ro-RO"/>
        </w:rPr>
      </w:pPr>
      <w:hyperlink r:id="rId27" w:anchor="26339826" w:history="1">
        <w:r w:rsidR="00DF354D" w:rsidRPr="00934E38">
          <w:rPr>
            <w:rStyle w:val="salnttl1"/>
            <w:rFonts w:ascii="Times New Roman" w:hAnsi="Times New Roman"/>
            <w:color w:val="auto"/>
            <w:sz w:val="24"/>
            <w:szCs w:val="24"/>
            <w:lang w:val="ro-RO"/>
          </w:rPr>
          <w:t>-</w:t>
        </w:r>
        <w:r w:rsidR="00715D98" w:rsidRPr="00934E38">
          <w:rPr>
            <w:rStyle w:val="salnbdy"/>
            <w:rFonts w:ascii="Times New Roman" w:hAnsi="Times New Roman"/>
            <w:color w:val="auto"/>
            <w:sz w:val="24"/>
            <w:szCs w:val="24"/>
            <w:lang w:val="ro-RO"/>
          </w:rPr>
          <w:t xml:space="preserve"> </w:t>
        </w:r>
        <w:r w:rsidR="00DF354D" w:rsidRPr="00934E38">
          <w:rPr>
            <w:rStyle w:val="salnbdy"/>
            <w:rFonts w:ascii="Times New Roman" w:hAnsi="Times New Roman"/>
            <w:color w:val="auto"/>
            <w:sz w:val="24"/>
            <w:szCs w:val="24"/>
            <w:lang w:val="ro-RO"/>
          </w:rPr>
          <w:t>e</w:t>
        </w:r>
        <w:r w:rsidR="00715D98" w:rsidRPr="00934E38">
          <w:rPr>
            <w:rStyle w:val="salnbdy"/>
            <w:rFonts w:ascii="Times New Roman" w:hAnsi="Times New Roman"/>
            <w:color w:val="auto"/>
            <w:sz w:val="24"/>
            <w:szCs w:val="24"/>
            <w:lang w:val="ro-RO"/>
          </w:rPr>
          <w:t>videnţierea plăţilor în cadrul rezervei de implementare se determină ca diferenţă între valoarea fiecărei plăţi actualizată cu ajustările de preţ şi valoarea neactualizată cu ajustarea de preţ.</w:t>
        </w:r>
      </w:hyperlink>
    </w:p>
    <w:p w:rsidR="0031021A" w:rsidRPr="003C1629" w:rsidRDefault="0031021A" w:rsidP="0031021A">
      <w:pPr>
        <w:ind w:firstLine="720"/>
        <w:jc w:val="both"/>
        <w:rPr>
          <w:sz w:val="24"/>
          <w:szCs w:val="24"/>
          <w:lang w:val="ro-RO"/>
        </w:rPr>
      </w:pPr>
      <w:r w:rsidRPr="003C1629">
        <w:rPr>
          <w:rFonts w:eastAsiaTheme="minorHAnsi"/>
          <w:color w:val="000000" w:themeColor="text1"/>
          <w:sz w:val="24"/>
          <w:szCs w:val="24"/>
          <w:lang w:val="ro-RO"/>
        </w:rPr>
        <w:t>Potrivit art. 17, alin. 8, li. b.2) din OUG nr. 64/2022, d</w:t>
      </w:r>
      <w:r w:rsidRPr="003C1629">
        <w:rPr>
          <w:sz w:val="24"/>
          <w:szCs w:val="24"/>
          <w:lang w:val="ro-RO"/>
        </w:rPr>
        <w:t>eterminarea sumelor aferente utilizării rezervei de implementare pentru contractele prevăzute la alin. (3) lit. b), denumită în continuare S</w:t>
      </w:r>
      <w:r w:rsidRPr="003C1629">
        <w:rPr>
          <w:sz w:val="24"/>
          <w:szCs w:val="24"/>
          <w:vertAlign w:val="subscript"/>
          <w:lang w:val="ro-RO"/>
        </w:rPr>
        <w:t>R</w:t>
      </w:r>
      <w:r w:rsidRPr="003C1629">
        <w:rPr>
          <w:sz w:val="24"/>
          <w:szCs w:val="24"/>
          <w:lang w:val="ro-RO"/>
        </w:rPr>
        <w:t>, se face după formula de calcul:</w:t>
      </w:r>
    </w:p>
    <w:p w:rsidR="0031021A" w:rsidRPr="003C1629" w:rsidRDefault="0031021A" w:rsidP="0031021A">
      <w:pPr>
        <w:ind w:firstLine="720"/>
        <w:jc w:val="both"/>
        <w:rPr>
          <w:sz w:val="24"/>
          <w:szCs w:val="24"/>
          <w:lang w:val="ro-RO"/>
        </w:rPr>
      </w:pPr>
      <w:r w:rsidRPr="003C1629">
        <w:rPr>
          <w:sz w:val="24"/>
          <w:szCs w:val="24"/>
          <w:lang w:val="ro-RO"/>
        </w:rPr>
        <w:t>S</w:t>
      </w:r>
      <w:r w:rsidRPr="003C1629">
        <w:rPr>
          <w:sz w:val="24"/>
          <w:szCs w:val="24"/>
          <w:vertAlign w:val="subscript"/>
          <w:lang w:val="ro-RO"/>
        </w:rPr>
        <w:t>R</w:t>
      </w:r>
      <w:r w:rsidRPr="003C1629">
        <w:rPr>
          <w:sz w:val="24"/>
          <w:szCs w:val="24"/>
          <w:lang w:val="ro-RO"/>
        </w:rPr>
        <w:t>= V</w:t>
      </w:r>
      <w:r w:rsidRPr="003C1629">
        <w:rPr>
          <w:sz w:val="24"/>
          <w:szCs w:val="24"/>
          <w:vertAlign w:val="subscript"/>
          <w:lang w:val="ro-RO"/>
        </w:rPr>
        <w:t>apl</w:t>
      </w:r>
      <w:r w:rsidRPr="003C1629">
        <w:rPr>
          <w:sz w:val="24"/>
          <w:szCs w:val="24"/>
          <w:lang w:val="ro-RO"/>
        </w:rPr>
        <w:t xml:space="preserve"> - V</w:t>
      </w:r>
      <w:r w:rsidRPr="003C1629">
        <w:rPr>
          <w:sz w:val="24"/>
          <w:szCs w:val="24"/>
          <w:vertAlign w:val="subscript"/>
          <w:lang w:val="ro-RO"/>
        </w:rPr>
        <w:t>pl</w:t>
      </w:r>
      <w:r w:rsidRPr="003C1629">
        <w:rPr>
          <w:sz w:val="24"/>
          <w:szCs w:val="24"/>
          <w:lang w:val="ro-RO"/>
        </w:rPr>
        <w:t>,</w:t>
      </w:r>
    </w:p>
    <w:p w:rsidR="0031021A" w:rsidRPr="003C1629" w:rsidRDefault="0031021A" w:rsidP="0031021A">
      <w:pPr>
        <w:jc w:val="both"/>
        <w:rPr>
          <w:sz w:val="24"/>
          <w:szCs w:val="24"/>
          <w:lang w:val="ro-RO"/>
        </w:rPr>
      </w:pPr>
      <w:r w:rsidRPr="003C1629">
        <w:rPr>
          <w:sz w:val="24"/>
          <w:szCs w:val="24"/>
          <w:lang w:val="ro-RO"/>
        </w:rPr>
        <w:t>unde:</w:t>
      </w:r>
    </w:p>
    <w:p w:rsidR="0031021A" w:rsidRPr="003C1629" w:rsidRDefault="0031021A" w:rsidP="0031021A">
      <w:pPr>
        <w:jc w:val="both"/>
        <w:rPr>
          <w:sz w:val="24"/>
          <w:szCs w:val="24"/>
          <w:lang w:val="ro-RO"/>
        </w:rPr>
      </w:pPr>
      <w:r w:rsidRPr="003C1629">
        <w:rPr>
          <w:sz w:val="24"/>
          <w:szCs w:val="24"/>
          <w:lang w:val="ro-RO"/>
        </w:rPr>
        <w:t>V_apl - valoarea actualizată a plăţii solicitată de către contractant la data depunerii solicitării de plată;</w:t>
      </w:r>
    </w:p>
    <w:p w:rsidR="0031021A" w:rsidRPr="003C1629" w:rsidRDefault="0031021A" w:rsidP="0031021A">
      <w:pPr>
        <w:jc w:val="both"/>
        <w:rPr>
          <w:sz w:val="24"/>
          <w:szCs w:val="24"/>
          <w:lang w:val="ro-RO"/>
        </w:rPr>
      </w:pPr>
      <w:r w:rsidRPr="003C1629">
        <w:rPr>
          <w:sz w:val="24"/>
          <w:szCs w:val="24"/>
          <w:lang w:val="ro-RO"/>
        </w:rPr>
        <w:t>V_pl - valoarea plăţii solicitată de către contractant la data depunerii solicitării de plată.</w:t>
      </w:r>
    </w:p>
    <w:p w:rsidR="0031021A" w:rsidRPr="003C1629" w:rsidRDefault="0031021A" w:rsidP="006C2CF3">
      <w:pPr>
        <w:jc w:val="both"/>
        <w:rPr>
          <w:sz w:val="24"/>
          <w:szCs w:val="24"/>
          <w:lang w:val="ro-RO"/>
        </w:rPr>
      </w:pPr>
      <w:r w:rsidRPr="003C1629">
        <w:rPr>
          <w:sz w:val="24"/>
          <w:szCs w:val="24"/>
          <w:lang w:val="ro-RO"/>
        </w:rPr>
        <w:t xml:space="preserve"> </w:t>
      </w:r>
      <w:r w:rsidRPr="003C1629">
        <w:rPr>
          <w:sz w:val="24"/>
          <w:szCs w:val="24"/>
          <w:lang w:val="ro-RO"/>
        </w:rPr>
        <w:tab/>
      </w:r>
      <w:r w:rsidRPr="003C1629">
        <w:rPr>
          <w:sz w:val="24"/>
          <w:szCs w:val="24"/>
          <w:lang w:val="ro-RO"/>
        </w:rPr>
        <w:tab/>
      </w:r>
      <w:r w:rsidRPr="003C1629">
        <w:rPr>
          <w:sz w:val="24"/>
          <w:szCs w:val="24"/>
          <w:lang w:val="ro-RO"/>
        </w:rPr>
        <w:tab/>
        <w:t>S</w:t>
      </w:r>
      <w:r w:rsidRPr="003C1629">
        <w:rPr>
          <w:sz w:val="24"/>
          <w:szCs w:val="24"/>
          <w:vertAlign w:val="subscript"/>
          <w:lang w:val="ro-RO"/>
        </w:rPr>
        <w:t>R</w:t>
      </w:r>
      <w:r w:rsidRPr="003C1629">
        <w:rPr>
          <w:sz w:val="24"/>
          <w:szCs w:val="24"/>
          <w:lang w:val="ro-RO"/>
        </w:rPr>
        <w:t xml:space="preserve">= 15 x (11.600.512,87 - </w:t>
      </w:r>
      <w:r w:rsidRPr="003C1629">
        <w:rPr>
          <w:bCs/>
          <w:sz w:val="24"/>
          <w:szCs w:val="24"/>
          <w:lang w:val="ro-RO"/>
        </w:rPr>
        <w:t>9.736.875,00)</w:t>
      </w:r>
      <w:r w:rsidRPr="003C1629">
        <w:rPr>
          <w:sz w:val="24"/>
          <w:szCs w:val="24"/>
          <w:vertAlign w:val="subscript"/>
          <w:lang w:val="ro-RO"/>
        </w:rPr>
        <w:t xml:space="preserve"> </w:t>
      </w:r>
      <w:r w:rsidRPr="003C1629">
        <w:rPr>
          <w:sz w:val="24"/>
          <w:szCs w:val="24"/>
          <w:lang w:val="ro-RO"/>
        </w:rPr>
        <w:t xml:space="preserve">= 15 x 1.863.637,87 </w:t>
      </w:r>
    </w:p>
    <w:p w:rsidR="0031021A" w:rsidRPr="003C1629" w:rsidRDefault="0031021A" w:rsidP="0031021A">
      <w:pPr>
        <w:ind w:left="1440" w:firstLine="720"/>
        <w:jc w:val="both"/>
        <w:rPr>
          <w:sz w:val="24"/>
          <w:szCs w:val="24"/>
          <w:lang w:val="ro-RO"/>
        </w:rPr>
      </w:pPr>
      <w:r w:rsidRPr="003C1629">
        <w:rPr>
          <w:sz w:val="24"/>
          <w:szCs w:val="24"/>
          <w:lang w:val="ro-RO"/>
        </w:rPr>
        <w:t>S</w:t>
      </w:r>
      <w:r w:rsidRPr="003C1629">
        <w:rPr>
          <w:sz w:val="24"/>
          <w:szCs w:val="24"/>
          <w:vertAlign w:val="subscript"/>
          <w:lang w:val="ro-RO"/>
        </w:rPr>
        <w:t xml:space="preserve">R </w:t>
      </w:r>
      <w:r w:rsidRPr="003C1629">
        <w:rPr>
          <w:sz w:val="24"/>
          <w:szCs w:val="24"/>
          <w:lang w:val="ro-RO"/>
        </w:rPr>
        <w:t>= 27.954.568,05 lei (fără TVA)</w:t>
      </w:r>
    </w:p>
    <w:p w:rsidR="00530116" w:rsidRPr="003C1629" w:rsidRDefault="00530116" w:rsidP="00530116">
      <w:pPr>
        <w:jc w:val="both"/>
        <w:rPr>
          <w:sz w:val="24"/>
          <w:szCs w:val="24"/>
          <w:lang w:val="ro-RO"/>
        </w:rPr>
      </w:pPr>
      <w:r w:rsidRPr="003C1629">
        <w:rPr>
          <w:color w:val="000000"/>
          <w:sz w:val="24"/>
          <w:szCs w:val="24"/>
          <w:shd w:val="clear" w:color="auto" w:fill="FFFFFF"/>
          <w:lang w:val="ro-RO"/>
        </w:rPr>
        <w:t>E</w:t>
      </w:r>
      <w:r w:rsidRPr="003C1629">
        <w:rPr>
          <w:sz w:val="24"/>
          <w:szCs w:val="24"/>
          <w:lang w:val="ro-RO"/>
        </w:rPr>
        <w:t>xemplu de calcul al valorii prețului unui tramvai pentru o solicitare de plată depusă în iunie 2022, pe baza valorii provizorii a indicilor:</w:t>
      </w:r>
    </w:p>
    <w:p w:rsidR="00530116" w:rsidRPr="003C1629" w:rsidRDefault="00530116" w:rsidP="00530116">
      <w:pPr>
        <w:jc w:val="both"/>
        <w:rPr>
          <w:bCs/>
          <w:sz w:val="24"/>
          <w:szCs w:val="24"/>
          <w:lang w:val="ro-RO"/>
        </w:rPr>
      </w:pPr>
      <w:r w:rsidRPr="003C1629">
        <w:rPr>
          <w:sz w:val="24"/>
          <w:szCs w:val="24"/>
          <w:lang w:val="ro-RO"/>
        </w:rPr>
        <w:t>V</w:t>
      </w:r>
      <w:r w:rsidRPr="003C1629">
        <w:rPr>
          <w:sz w:val="24"/>
          <w:szCs w:val="24"/>
          <w:vertAlign w:val="subscript"/>
          <w:lang w:val="ro-RO"/>
        </w:rPr>
        <w:t>apl</w:t>
      </w:r>
      <w:r w:rsidRPr="003C1629">
        <w:rPr>
          <w:sz w:val="24"/>
          <w:szCs w:val="24"/>
          <w:lang w:val="ro-RO"/>
        </w:rPr>
        <w:t>=</w:t>
      </w:r>
      <w:r w:rsidRPr="003C1629">
        <w:rPr>
          <w:bCs/>
          <w:sz w:val="24"/>
          <w:szCs w:val="24"/>
          <w:lang w:val="ro-RO"/>
        </w:rPr>
        <w:t>9.736.875,00 x [(0,00 +0,03) + (1-0,00-0,03) x 112,98/102,22 x 108,35/100]</w:t>
      </w:r>
    </w:p>
    <w:p w:rsidR="00530116" w:rsidRPr="003C1629" w:rsidRDefault="00530116" w:rsidP="00530116">
      <w:pPr>
        <w:jc w:val="both"/>
        <w:rPr>
          <w:bCs/>
          <w:sz w:val="24"/>
          <w:szCs w:val="24"/>
          <w:lang w:val="ro-RO"/>
        </w:rPr>
      </w:pPr>
      <w:r w:rsidRPr="003C1629">
        <w:rPr>
          <w:sz w:val="24"/>
          <w:szCs w:val="24"/>
          <w:lang w:val="ro-RO"/>
        </w:rPr>
        <w:t>V</w:t>
      </w:r>
      <w:r w:rsidRPr="003C1629">
        <w:rPr>
          <w:sz w:val="24"/>
          <w:szCs w:val="24"/>
          <w:vertAlign w:val="subscript"/>
          <w:lang w:val="ro-RO"/>
        </w:rPr>
        <w:t>apl</w:t>
      </w:r>
      <w:r w:rsidRPr="003C1629">
        <w:rPr>
          <w:sz w:val="24"/>
          <w:szCs w:val="24"/>
          <w:lang w:val="ro-RO"/>
        </w:rPr>
        <w:t>=</w:t>
      </w:r>
      <w:r w:rsidRPr="003C1629">
        <w:rPr>
          <w:bCs/>
          <w:sz w:val="24"/>
          <w:szCs w:val="24"/>
          <w:lang w:val="ro-RO"/>
        </w:rPr>
        <w:t>9.736.875,00 x [0,03 + 0,97 x (1,1052 x 1,0835)</w:t>
      </w:r>
    </w:p>
    <w:p w:rsidR="00530116" w:rsidRPr="003C1629" w:rsidRDefault="00530116" w:rsidP="00530116">
      <w:pPr>
        <w:jc w:val="both"/>
        <w:rPr>
          <w:bCs/>
          <w:sz w:val="24"/>
          <w:szCs w:val="24"/>
          <w:lang w:val="ro-RO"/>
        </w:rPr>
      </w:pPr>
      <w:r w:rsidRPr="003C1629">
        <w:rPr>
          <w:bCs/>
          <w:sz w:val="24"/>
          <w:szCs w:val="24"/>
          <w:lang w:val="ro-RO"/>
        </w:rPr>
        <w:t>V</w:t>
      </w:r>
      <w:r w:rsidRPr="003C1629">
        <w:rPr>
          <w:bCs/>
          <w:sz w:val="24"/>
          <w:szCs w:val="24"/>
          <w:vertAlign w:val="subscript"/>
          <w:lang w:val="ro-RO"/>
        </w:rPr>
        <w:t>apl</w:t>
      </w:r>
      <w:r w:rsidRPr="003C1629">
        <w:rPr>
          <w:bCs/>
          <w:sz w:val="24"/>
          <w:szCs w:val="24"/>
          <w:lang w:val="ro-RO"/>
        </w:rPr>
        <w:t xml:space="preserve">=9.736.875,00 x (0,03 + 0,97 x 1,1974) </w:t>
      </w:r>
    </w:p>
    <w:p w:rsidR="00530116" w:rsidRPr="003C1629" w:rsidRDefault="00530116" w:rsidP="00530116">
      <w:pPr>
        <w:jc w:val="both"/>
        <w:rPr>
          <w:bCs/>
          <w:sz w:val="24"/>
          <w:szCs w:val="24"/>
          <w:lang w:val="ro-RO"/>
        </w:rPr>
      </w:pPr>
      <w:r w:rsidRPr="003C1629">
        <w:rPr>
          <w:bCs/>
          <w:sz w:val="24"/>
          <w:szCs w:val="24"/>
          <w:lang w:val="ro-RO"/>
        </w:rPr>
        <w:t>V</w:t>
      </w:r>
      <w:r w:rsidRPr="003C1629">
        <w:rPr>
          <w:bCs/>
          <w:sz w:val="24"/>
          <w:szCs w:val="24"/>
          <w:vertAlign w:val="subscript"/>
          <w:lang w:val="ro-RO"/>
        </w:rPr>
        <w:t>apl</w:t>
      </w:r>
      <w:r w:rsidRPr="003C1629">
        <w:rPr>
          <w:bCs/>
          <w:sz w:val="24"/>
          <w:szCs w:val="24"/>
          <w:lang w:val="ro-RO"/>
        </w:rPr>
        <w:t>=9.736.875,00 x (0,03 + 1.1614)</w:t>
      </w:r>
    </w:p>
    <w:p w:rsidR="00530116" w:rsidRPr="003C1629" w:rsidRDefault="00530116" w:rsidP="00530116">
      <w:pPr>
        <w:jc w:val="both"/>
        <w:rPr>
          <w:bCs/>
          <w:sz w:val="24"/>
          <w:szCs w:val="24"/>
          <w:lang w:val="ro-RO"/>
        </w:rPr>
      </w:pPr>
      <w:r w:rsidRPr="003C1629">
        <w:rPr>
          <w:bCs/>
          <w:sz w:val="24"/>
          <w:szCs w:val="24"/>
          <w:lang w:val="ro-RO"/>
        </w:rPr>
        <w:t>V</w:t>
      </w:r>
      <w:r w:rsidRPr="003C1629">
        <w:rPr>
          <w:bCs/>
          <w:sz w:val="24"/>
          <w:szCs w:val="24"/>
          <w:vertAlign w:val="subscript"/>
          <w:lang w:val="ro-RO"/>
        </w:rPr>
        <w:t>apl</w:t>
      </w:r>
      <w:r w:rsidRPr="003C1629">
        <w:rPr>
          <w:bCs/>
          <w:sz w:val="24"/>
          <w:szCs w:val="24"/>
          <w:lang w:val="ro-RO"/>
        </w:rPr>
        <w:t>=9.736.875,00 x 1.1914</w:t>
      </w:r>
    </w:p>
    <w:p w:rsidR="00530116" w:rsidRPr="003C1629" w:rsidRDefault="00530116" w:rsidP="00530116">
      <w:pPr>
        <w:jc w:val="both"/>
        <w:rPr>
          <w:sz w:val="24"/>
          <w:szCs w:val="24"/>
          <w:lang w:val="ro-RO"/>
        </w:rPr>
      </w:pPr>
      <w:r w:rsidRPr="003C1629">
        <w:rPr>
          <w:sz w:val="24"/>
          <w:szCs w:val="24"/>
          <w:lang w:val="ro-RO"/>
        </w:rPr>
        <w:t>V</w:t>
      </w:r>
      <w:r w:rsidRPr="003C1629">
        <w:rPr>
          <w:sz w:val="24"/>
          <w:szCs w:val="24"/>
          <w:vertAlign w:val="subscript"/>
          <w:lang w:val="ro-RO"/>
        </w:rPr>
        <w:t>apl</w:t>
      </w:r>
      <w:r w:rsidRPr="003C1629">
        <w:rPr>
          <w:sz w:val="24"/>
          <w:szCs w:val="24"/>
          <w:lang w:val="ro-RO"/>
        </w:rPr>
        <w:t>=11.600.512,87 lei</w:t>
      </w:r>
    </w:p>
    <w:p w:rsidR="00530116" w:rsidRPr="003C1629" w:rsidRDefault="00530116" w:rsidP="00530116">
      <w:pPr>
        <w:jc w:val="both"/>
        <w:rPr>
          <w:sz w:val="24"/>
          <w:szCs w:val="24"/>
          <w:lang w:val="ro-RO"/>
        </w:rPr>
      </w:pPr>
      <w:r w:rsidRPr="003C1629">
        <w:rPr>
          <w:sz w:val="24"/>
          <w:szCs w:val="24"/>
          <w:lang w:val="ro-RO"/>
        </w:rPr>
        <w:t>Valoarea ajustării (provizorie) – 1.863.637,87 lei</w:t>
      </w:r>
      <w:r w:rsidR="006C2CF3" w:rsidRPr="003C1629">
        <w:rPr>
          <w:sz w:val="24"/>
          <w:szCs w:val="24"/>
          <w:lang w:val="ro-RO"/>
        </w:rPr>
        <w:t>, p</w:t>
      </w:r>
      <w:r w:rsidRPr="003C1629">
        <w:rPr>
          <w:sz w:val="24"/>
          <w:szCs w:val="24"/>
          <w:lang w:val="ro-RO"/>
        </w:rPr>
        <w:t>rocent ajustare (provizoriu) – 19,14%.</w:t>
      </w:r>
    </w:p>
    <w:p w:rsidR="0031021A" w:rsidRPr="00934E38" w:rsidRDefault="0031021A" w:rsidP="006C2CF3">
      <w:pPr>
        <w:ind w:firstLine="720"/>
        <w:jc w:val="both"/>
        <w:rPr>
          <w:sz w:val="24"/>
          <w:szCs w:val="24"/>
          <w:lang w:val="ro-RO"/>
        </w:rPr>
      </w:pPr>
      <w:r w:rsidRPr="003C1629">
        <w:rPr>
          <w:sz w:val="24"/>
          <w:szCs w:val="24"/>
          <w:lang w:val="ro-RO"/>
        </w:rPr>
        <w:t>Rezerva de implementare (determinată pe baza valorilor provizorii ale indicilor publicați la momentul redactării prezentei note – iunie 2022) este de 27.954.568,05  lei, fără TVA şi este în cuantum de 19,</w:t>
      </w:r>
      <w:r w:rsidR="00512EA4">
        <w:rPr>
          <w:sz w:val="24"/>
          <w:szCs w:val="24"/>
          <w:lang w:val="ro-RO"/>
        </w:rPr>
        <w:t>14</w:t>
      </w:r>
      <w:r w:rsidRPr="003C1629">
        <w:rPr>
          <w:sz w:val="24"/>
          <w:szCs w:val="24"/>
          <w:lang w:val="ro-RO"/>
        </w:rPr>
        <w:t>% (mai mică decât pragul de 23% prevăzut de OUG nr. 64/2022) din valoarea</w:t>
      </w:r>
      <w:r w:rsidRPr="00934E38">
        <w:rPr>
          <w:sz w:val="24"/>
          <w:szCs w:val="24"/>
          <w:lang w:val="ro-RO"/>
        </w:rPr>
        <w:t xml:space="preserve"> restului de executat a contractului de achiziţie, la momentul intrării în vigoare a ordonanţei de urgenţă şi poate fi utilizată numai pentru plata diferenţelor de preţ aferente ajustării preţului contractelor de achiziţie.</w:t>
      </w:r>
    </w:p>
    <w:p w:rsidR="00FD3185" w:rsidRPr="00934E38" w:rsidRDefault="006C2CF3" w:rsidP="006C2CF3">
      <w:pPr>
        <w:jc w:val="both"/>
        <w:rPr>
          <w:rStyle w:val="rezumat1"/>
          <w:sz w:val="24"/>
          <w:szCs w:val="24"/>
          <w:lang w:val="ro-RO"/>
        </w:rPr>
      </w:pPr>
      <w:r w:rsidRPr="00934E38">
        <w:rPr>
          <w:rStyle w:val="rezumat1"/>
          <w:sz w:val="24"/>
          <w:szCs w:val="24"/>
          <w:lang w:val="ro-RO"/>
        </w:rPr>
        <w:tab/>
        <w:t>Având în vedere, cele mai sus prezentat propunem:</w:t>
      </w:r>
    </w:p>
    <w:p w:rsidR="006C2CF3" w:rsidRPr="00934E38" w:rsidRDefault="006C2CF3" w:rsidP="006C2CF3">
      <w:pPr>
        <w:pStyle w:val="ListParagraph"/>
        <w:numPr>
          <w:ilvl w:val="0"/>
          <w:numId w:val="6"/>
        </w:numPr>
        <w:autoSpaceDE w:val="0"/>
        <w:autoSpaceDN w:val="0"/>
        <w:adjustRightInd w:val="0"/>
        <w:jc w:val="both"/>
        <w:rPr>
          <w:color w:val="000000"/>
          <w:sz w:val="24"/>
          <w:szCs w:val="24"/>
          <w:lang w:val="ro-RO"/>
        </w:rPr>
      </w:pPr>
      <w:r w:rsidRPr="00934E38">
        <w:rPr>
          <w:color w:val="000000"/>
          <w:sz w:val="24"/>
          <w:szCs w:val="24"/>
          <w:lang w:val="ro-RO"/>
        </w:rPr>
        <w:t xml:space="preserve">aprobarea rezervei de implementare pentru reechilibrarea contractului nr. 103/26.07.2019, în cuantum de </w:t>
      </w:r>
      <w:r w:rsidRPr="003C1629">
        <w:rPr>
          <w:color w:val="000000"/>
          <w:sz w:val="24"/>
          <w:szCs w:val="24"/>
          <w:lang w:val="ro-RO"/>
        </w:rPr>
        <w:t>27.954.568,05</w:t>
      </w:r>
      <w:r w:rsidRPr="00934E38">
        <w:rPr>
          <w:b/>
          <w:color w:val="000000"/>
          <w:sz w:val="24"/>
          <w:szCs w:val="24"/>
          <w:lang w:val="ro-RO"/>
        </w:rPr>
        <w:t xml:space="preserve"> </w:t>
      </w:r>
      <w:r w:rsidRPr="00934E38">
        <w:rPr>
          <w:color w:val="000000"/>
          <w:sz w:val="24"/>
          <w:szCs w:val="24"/>
          <w:lang w:val="ro-RO"/>
        </w:rPr>
        <w:t xml:space="preserve"> lei, fără </w:t>
      </w:r>
      <w:r w:rsidRPr="009C1BD6">
        <w:rPr>
          <w:color w:val="000000"/>
          <w:sz w:val="24"/>
          <w:szCs w:val="24"/>
          <w:lang w:val="ro-RO"/>
        </w:rPr>
        <w:t xml:space="preserve">TVA, </w:t>
      </w:r>
      <w:r w:rsidR="009C1BD6" w:rsidRPr="009C1BD6">
        <w:rPr>
          <w:color w:val="000000"/>
          <w:sz w:val="24"/>
          <w:szCs w:val="24"/>
          <w:lang w:val="ro-RO"/>
        </w:rPr>
        <w:t>reprezentând un</w:t>
      </w:r>
      <w:r w:rsidRPr="009C1BD6">
        <w:rPr>
          <w:color w:val="000000"/>
          <w:sz w:val="24"/>
          <w:szCs w:val="24"/>
          <w:lang w:val="ro-RO"/>
        </w:rPr>
        <w:t xml:space="preserve"> procent</w:t>
      </w:r>
      <w:r w:rsidRPr="00934E38">
        <w:rPr>
          <w:color w:val="000000"/>
          <w:sz w:val="24"/>
          <w:szCs w:val="24"/>
          <w:lang w:val="ro-RO"/>
        </w:rPr>
        <w:t xml:space="preserve"> </w:t>
      </w:r>
      <w:r w:rsidR="00FF74E9">
        <w:rPr>
          <w:color w:val="000000"/>
          <w:sz w:val="24"/>
          <w:szCs w:val="24"/>
          <w:lang w:val="ro-RO"/>
        </w:rPr>
        <w:t>de 19,14</w:t>
      </w:r>
      <w:r w:rsidRPr="003C1629">
        <w:rPr>
          <w:color w:val="000000"/>
          <w:sz w:val="24"/>
          <w:szCs w:val="24"/>
          <w:lang w:val="ro-RO"/>
        </w:rPr>
        <w:t>%</w:t>
      </w:r>
      <w:r w:rsidRPr="00934E38">
        <w:rPr>
          <w:color w:val="000000"/>
          <w:sz w:val="24"/>
          <w:szCs w:val="24"/>
          <w:lang w:val="ro-RO"/>
        </w:rPr>
        <w:t xml:space="preserve"> din valoarea restului de executat a contractului, la momentul intrării în vigoare a OUG nr. 64/2022. </w:t>
      </w:r>
    </w:p>
    <w:p w:rsidR="006C2CF3" w:rsidRPr="00934E38" w:rsidRDefault="006C2CF3" w:rsidP="006C2CF3">
      <w:pPr>
        <w:pStyle w:val="ListParagraph"/>
        <w:numPr>
          <w:ilvl w:val="0"/>
          <w:numId w:val="6"/>
        </w:numPr>
        <w:autoSpaceDE w:val="0"/>
        <w:autoSpaceDN w:val="0"/>
        <w:adjustRightInd w:val="0"/>
        <w:jc w:val="both"/>
        <w:rPr>
          <w:color w:val="000000"/>
          <w:sz w:val="24"/>
          <w:szCs w:val="24"/>
          <w:lang w:val="ro-RO"/>
        </w:rPr>
      </w:pPr>
      <w:r w:rsidRPr="00934E38">
        <w:rPr>
          <w:color w:val="000000"/>
          <w:sz w:val="24"/>
          <w:szCs w:val="24"/>
          <w:lang w:val="ro-RO"/>
        </w:rPr>
        <w:t>rezerva de implementare poate fi utilizată numai pentru plata diferenţelor de preţ aferente ajustării preţului Contractului de furnizare nr. 103/26.07.2019.</w:t>
      </w:r>
    </w:p>
    <w:p w:rsidR="003542A5" w:rsidRPr="00934E38" w:rsidRDefault="0047746C" w:rsidP="003542A5">
      <w:pPr>
        <w:pStyle w:val="ListParagraph"/>
        <w:numPr>
          <w:ilvl w:val="0"/>
          <w:numId w:val="6"/>
        </w:numPr>
        <w:jc w:val="both"/>
        <w:rPr>
          <w:sz w:val="24"/>
          <w:szCs w:val="24"/>
          <w:lang w:val="ro-RO"/>
        </w:rPr>
      </w:pPr>
      <w:r w:rsidRPr="00934E38">
        <w:rPr>
          <w:sz w:val="24"/>
          <w:szCs w:val="24"/>
          <w:lang w:val="ro-RO"/>
        </w:rPr>
        <w:t>p</w:t>
      </w:r>
      <w:r w:rsidR="003542A5" w:rsidRPr="00934E38">
        <w:rPr>
          <w:sz w:val="24"/>
          <w:szCs w:val="24"/>
          <w:lang w:val="ro-RO"/>
        </w:rPr>
        <w:t>e parcursul derulării contractelor, rezerva de implementare destinată plăţii ajustărilor de preţ se poate suplimenta cu procente de până la 10% din valoarea restului de executat a contractului de achiziţie, la data solicitării, prin încheierea de acte adiţionale la contracte. Suplimentarea rezervei de implementare poate avea loc numai dacă au fost efectuate plăţi de minimum 75% din valoarea rezervei. Suplimentarea rezervei de implementare nu poate conduce la depăşirea pragurilor prevăzute la art. 8 şi 18.</w:t>
      </w:r>
    </w:p>
    <w:p w:rsidR="00256320" w:rsidRPr="00934E38" w:rsidRDefault="00256320" w:rsidP="00256320">
      <w:pPr>
        <w:autoSpaceDE w:val="0"/>
        <w:autoSpaceDN w:val="0"/>
        <w:adjustRightInd w:val="0"/>
        <w:jc w:val="both"/>
        <w:rPr>
          <w:bCs/>
          <w:color w:val="000000"/>
          <w:sz w:val="24"/>
          <w:szCs w:val="24"/>
        </w:rPr>
      </w:pPr>
    </w:p>
    <w:tbl>
      <w:tblPr>
        <w:tblpPr w:leftFromText="180" w:rightFromText="180" w:vertAnchor="text" w:horzAnchor="page" w:tblpX="1851" w:tblpY="242"/>
        <w:tblW w:w="0" w:type="auto"/>
        <w:tblLook w:val="01E0"/>
      </w:tblPr>
      <w:tblGrid>
        <w:gridCol w:w="3794"/>
        <w:gridCol w:w="992"/>
        <w:gridCol w:w="4360"/>
      </w:tblGrid>
      <w:tr w:rsidR="00256320" w:rsidRPr="00934E38" w:rsidTr="005A187C">
        <w:tc>
          <w:tcPr>
            <w:tcW w:w="3794" w:type="dxa"/>
            <w:vAlign w:val="center"/>
          </w:tcPr>
          <w:p w:rsidR="00256320" w:rsidRPr="00934E38" w:rsidRDefault="00256320" w:rsidP="005A187C">
            <w:pPr>
              <w:autoSpaceDE w:val="0"/>
              <w:autoSpaceDN w:val="0"/>
              <w:adjustRightInd w:val="0"/>
              <w:jc w:val="center"/>
              <w:rPr>
                <w:b/>
                <w:sz w:val="24"/>
                <w:szCs w:val="24"/>
              </w:rPr>
            </w:pPr>
            <w:r w:rsidRPr="00934E38">
              <w:rPr>
                <w:b/>
                <w:sz w:val="24"/>
                <w:szCs w:val="24"/>
              </w:rPr>
              <w:t>DIRECTOR</w:t>
            </w:r>
            <w:r w:rsidR="002F35A4">
              <w:rPr>
                <w:b/>
                <w:sz w:val="24"/>
                <w:szCs w:val="24"/>
              </w:rPr>
              <w:t xml:space="preserve"> GENERAL</w:t>
            </w:r>
            <w:r w:rsidRPr="00934E38">
              <w:rPr>
                <w:b/>
                <w:sz w:val="24"/>
                <w:szCs w:val="24"/>
              </w:rPr>
              <w:t>,</w:t>
            </w:r>
          </w:p>
        </w:tc>
        <w:tc>
          <w:tcPr>
            <w:tcW w:w="992" w:type="dxa"/>
            <w:vAlign w:val="center"/>
          </w:tcPr>
          <w:p w:rsidR="00256320" w:rsidRPr="00934E38" w:rsidRDefault="00256320" w:rsidP="005A187C">
            <w:pPr>
              <w:autoSpaceDE w:val="0"/>
              <w:autoSpaceDN w:val="0"/>
              <w:adjustRightInd w:val="0"/>
              <w:jc w:val="center"/>
              <w:rPr>
                <w:sz w:val="24"/>
                <w:szCs w:val="24"/>
              </w:rPr>
            </w:pPr>
          </w:p>
        </w:tc>
        <w:tc>
          <w:tcPr>
            <w:tcW w:w="4360" w:type="dxa"/>
            <w:vAlign w:val="center"/>
          </w:tcPr>
          <w:p w:rsidR="00256320" w:rsidRPr="00934E38" w:rsidRDefault="00256320" w:rsidP="002F35A4">
            <w:pPr>
              <w:autoSpaceDE w:val="0"/>
              <w:autoSpaceDN w:val="0"/>
              <w:adjustRightInd w:val="0"/>
              <w:jc w:val="center"/>
              <w:rPr>
                <w:b/>
                <w:sz w:val="24"/>
                <w:szCs w:val="24"/>
              </w:rPr>
            </w:pPr>
            <w:r w:rsidRPr="00934E38">
              <w:rPr>
                <w:b/>
                <w:sz w:val="24"/>
                <w:szCs w:val="24"/>
              </w:rPr>
              <w:t>ŞEF BIROU,</w:t>
            </w:r>
          </w:p>
        </w:tc>
      </w:tr>
      <w:tr w:rsidR="00256320" w:rsidRPr="00934E38" w:rsidTr="005A187C">
        <w:tc>
          <w:tcPr>
            <w:tcW w:w="3794" w:type="dxa"/>
            <w:vAlign w:val="center"/>
          </w:tcPr>
          <w:p w:rsidR="00256320" w:rsidRPr="00934E38" w:rsidRDefault="00256320" w:rsidP="005A187C">
            <w:pPr>
              <w:autoSpaceDE w:val="0"/>
              <w:autoSpaceDN w:val="0"/>
              <w:adjustRightInd w:val="0"/>
              <w:jc w:val="center"/>
              <w:rPr>
                <w:b/>
                <w:i/>
                <w:sz w:val="24"/>
                <w:szCs w:val="24"/>
              </w:rPr>
            </w:pPr>
            <w:r w:rsidRPr="00934E38">
              <w:rPr>
                <w:b/>
                <w:i/>
                <w:sz w:val="24"/>
                <w:szCs w:val="24"/>
              </w:rPr>
              <w:t>CULIŢĂ   CHIŞ</w:t>
            </w:r>
          </w:p>
        </w:tc>
        <w:tc>
          <w:tcPr>
            <w:tcW w:w="992" w:type="dxa"/>
            <w:vAlign w:val="center"/>
          </w:tcPr>
          <w:p w:rsidR="00256320" w:rsidRPr="00934E38" w:rsidRDefault="00256320" w:rsidP="005A187C">
            <w:pPr>
              <w:autoSpaceDE w:val="0"/>
              <w:autoSpaceDN w:val="0"/>
              <w:adjustRightInd w:val="0"/>
              <w:jc w:val="center"/>
              <w:rPr>
                <w:sz w:val="24"/>
                <w:szCs w:val="24"/>
              </w:rPr>
            </w:pPr>
          </w:p>
        </w:tc>
        <w:tc>
          <w:tcPr>
            <w:tcW w:w="4360" w:type="dxa"/>
            <w:vAlign w:val="center"/>
          </w:tcPr>
          <w:p w:rsidR="00256320" w:rsidRPr="00934E38" w:rsidRDefault="00256320" w:rsidP="005A187C">
            <w:pPr>
              <w:autoSpaceDE w:val="0"/>
              <w:autoSpaceDN w:val="0"/>
              <w:adjustRightInd w:val="0"/>
              <w:jc w:val="center"/>
              <w:rPr>
                <w:b/>
                <w:i/>
                <w:sz w:val="24"/>
                <w:szCs w:val="24"/>
              </w:rPr>
            </w:pPr>
            <w:r w:rsidRPr="00934E38">
              <w:rPr>
                <w:b/>
                <w:i/>
                <w:sz w:val="24"/>
                <w:szCs w:val="24"/>
              </w:rPr>
              <w:t>NASTASIA POP</w:t>
            </w:r>
          </w:p>
        </w:tc>
      </w:tr>
      <w:tr w:rsidR="00256320" w:rsidRPr="00934E38" w:rsidTr="005A187C">
        <w:tc>
          <w:tcPr>
            <w:tcW w:w="3794" w:type="dxa"/>
            <w:vAlign w:val="center"/>
          </w:tcPr>
          <w:p w:rsidR="00256320" w:rsidRDefault="00256320" w:rsidP="005A187C">
            <w:pPr>
              <w:autoSpaceDE w:val="0"/>
              <w:autoSpaceDN w:val="0"/>
              <w:adjustRightInd w:val="0"/>
              <w:jc w:val="center"/>
              <w:rPr>
                <w:b/>
                <w:sz w:val="24"/>
                <w:szCs w:val="24"/>
              </w:rPr>
            </w:pPr>
          </w:p>
          <w:p w:rsidR="002F35A4" w:rsidRDefault="002F35A4" w:rsidP="005A187C">
            <w:pPr>
              <w:autoSpaceDE w:val="0"/>
              <w:autoSpaceDN w:val="0"/>
              <w:adjustRightInd w:val="0"/>
              <w:jc w:val="center"/>
              <w:rPr>
                <w:b/>
                <w:sz w:val="24"/>
                <w:szCs w:val="24"/>
              </w:rPr>
            </w:pPr>
          </w:p>
          <w:p w:rsidR="002F35A4" w:rsidRDefault="002F35A4" w:rsidP="005A187C">
            <w:pPr>
              <w:autoSpaceDE w:val="0"/>
              <w:autoSpaceDN w:val="0"/>
              <w:adjustRightInd w:val="0"/>
              <w:jc w:val="center"/>
              <w:rPr>
                <w:b/>
                <w:sz w:val="24"/>
                <w:szCs w:val="24"/>
              </w:rPr>
            </w:pPr>
          </w:p>
          <w:p w:rsidR="002F35A4" w:rsidRDefault="002F35A4" w:rsidP="005A187C">
            <w:pPr>
              <w:autoSpaceDE w:val="0"/>
              <w:autoSpaceDN w:val="0"/>
              <w:adjustRightInd w:val="0"/>
              <w:jc w:val="center"/>
              <w:rPr>
                <w:b/>
                <w:sz w:val="24"/>
                <w:szCs w:val="24"/>
              </w:rPr>
            </w:pPr>
          </w:p>
          <w:p w:rsidR="002F35A4" w:rsidRPr="00934E38" w:rsidRDefault="002F35A4" w:rsidP="005A187C">
            <w:pPr>
              <w:autoSpaceDE w:val="0"/>
              <w:autoSpaceDN w:val="0"/>
              <w:adjustRightInd w:val="0"/>
              <w:jc w:val="center"/>
              <w:rPr>
                <w:b/>
                <w:sz w:val="24"/>
                <w:szCs w:val="24"/>
              </w:rPr>
            </w:pPr>
            <w:r>
              <w:rPr>
                <w:b/>
                <w:sz w:val="24"/>
                <w:szCs w:val="24"/>
              </w:rPr>
              <w:t>CONSILIER,</w:t>
            </w:r>
          </w:p>
        </w:tc>
        <w:tc>
          <w:tcPr>
            <w:tcW w:w="992" w:type="dxa"/>
            <w:vAlign w:val="center"/>
          </w:tcPr>
          <w:p w:rsidR="00256320" w:rsidRPr="00934E38" w:rsidRDefault="00256320" w:rsidP="005A187C">
            <w:pPr>
              <w:autoSpaceDE w:val="0"/>
              <w:autoSpaceDN w:val="0"/>
              <w:adjustRightInd w:val="0"/>
              <w:jc w:val="center"/>
              <w:rPr>
                <w:sz w:val="24"/>
                <w:szCs w:val="24"/>
              </w:rPr>
            </w:pPr>
          </w:p>
        </w:tc>
        <w:tc>
          <w:tcPr>
            <w:tcW w:w="4360" w:type="dxa"/>
            <w:vAlign w:val="center"/>
          </w:tcPr>
          <w:p w:rsidR="00256320" w:rsidRPr="00934E38" w:rsidRDefault="00256320" w:rsidP="005A187C">
            <w:pPr>
              <w:autoSpaceDE w:val="0"/>
              <w:autoSpaceDN w:val="0"/>
              <w:adjustRightInd w:val="0"/>
              <w:jc w:val="center"/>
              <w:rPr>
                <w:b/>
                <w:sz w:val="24"/>
                <w:szCs w:val="24"/>
              </w:rPr>
            </w:pPr>
          </w:p>
          <w:p w:rsidR="00256320" w:rsidRPr="00934E38" w:rsidRDefault="00256320" w:rsidP="005A187C">
            <w:pPr>
              <w:autoSpaceDE w:val="0"/>
              <w:autoSpaceDN w:val="0"/>
              <w:adjustRightInd w:val="0"/>
              <w:jc w:val="center"/>
              <w:rPr>
                <w:b/>
                <w:sz w:val="24"/>
                <w:szCs w:val="24"/>
              </w:rPr>
            </w:pPr>
          </w:p>
          <w:p w:rsidR="00256320" w:rsidRPr="00934E38" w:rsidRDefault="00256320" w:rsidP="005A187C">
            <w:pPr>
              <w:autoSpaceDE w:val="0"/>
              <w:autoSpaceDN w:val="0"/>
              <w:adjustRightInd w:val="0"/>
              <w:jc w:val="center"/>
              <w:rPr>
                <w:b/>
                <w:sz w:val="24"/>
                <w:szCs w:val="24"/>
              </w:rPr>
            </w:pPr>
          </w:p>
          <w:p w:rsidR="00256320" w:rsidRPr="00934E38" w:rsidRDefault="00256320" w:rsidP="005A187C">
            <w:pPr>
              <w:autoSpaceDE w:val="0"/>
              <w:autoSpaceDN w:val="0"/>
              <w:adjustRightInd w:val="0"/>
              <w:jc w:val="center"/>
              <w:rPr>
                <w:b/>
                <w:sz w:val="24"/>
                <w:szCs w:val="24"/>
              </w:rPr>
            </w:pPr>
          </w:p>
          <w:p w:rsidR="00256320" w:rsidRPr="00934E38" w:rsidRDefault="00256320" w:rsidP="002F35A4">
            <w:pPr>
              <w:autoSpaceDE w:val="0"/>
              <w:autoSpaceDN w:val="0"/>
              <w:adjustRightInd w:val="0"/>
              <w:jc w:val="center"/>
              <w:rPr>
                <w:b/>
                <w:sz w:val="24"/>
                <w:szCs w:val="24"/>
              </w:rPr>
            </w:pPr>
            <w:r w:rsidRPr="00934E38">
              <w:rPr>
                <w:b/>
                <w:sz w:val="24"/>
                <w:szCs w:val="24"/>
              </w:rPr>
              <w:t>CONSILIER,</w:t>
            </w:r>
          </w:p>
        </w:tc>
      </w:tr>
      <w:tr w:rsidR="00256320" w:rsidRPr="008918A6" w:rsidTr="005A187C">
        <w:tc>
          <w:tcPr>
            <w:tcW w:w="3794" w:type="dxa"/>
            <w:vAlign w:val="center"/>
          </w:tcPr>
          <w:p w:rsidR="00256320" w:rsidRPr="00934E38" w:rsidRDefault="009C1BD6" w:rsidP="005A187C">
            <w:pPr>
              <w:autoSpaceDE w:val="0"/>
              <w:autoSpaceDN w:val="0"/>
              <w:adjustRightInd w:val="0"/>
              <w:jc w:val="center"/>
              <w:rPr>
                <w:b/>
                <w:i/>
                <w:sz w:val="24"/>
                <w:szCs w:val="24"/>
              </w:rPr>
            </w:pPr>
            <w:r>
              <w:rPr>
                <w:b/>
                <w:i/>
                <w:sz w:val="24"/>
                <w:szCs w:val="24"/>
              </w:rPr>
              <w:t>LIDIA VÎ</w:t>
            </w:r>
            <w:r w:rsidR="002F35A4">
              <w:rPr>
                <w:b/>
                <w:i/>
                <w:sz w:val="24"/>
                <w:szCs w:val="24"/>
              </w:rPr>
              <w:t>LCEANU</w:t>
            </w:r>
          </w:p>
        </w:tc>
        <w:tc>
          <w:tcPr>
            <w:tcW w:w="992" w:type="dxa"/>
            <w:vAlign w:val="center"/>
          </w:tcPr>
          <w:p w:rsidR="00256320" w:rsidRPr="00934E38" w:rsidRDefault="00256320" w:rsidP="005A187C">
            <w:pPr>
              <w:autoSpaceDE w:val="0"/>
              <w:autoSpaceDN w:val="0"/>
              <w:adjustRightInd w:val="0"/>
              <w:jc w:val="center"/>
              <w:rPr>
                <w:sz w:val="24"/>
                <w:szCs w:val="24"/>
              </w:rPr>
            </w:pPr>
          </w:p>
        </w:tc>
        <w:tc>
          <w:tcPr>
            <w:tcW w:w="4360" w:type="dxa"/>
            <w:vAlign w:val="center"/>
          </w:tcPr>
          <w:p w:rsidR="00256320" w:rsidRPr="008918A6" w:rsidRDefault="0094390B" w:rsidP="005A187C">
            <w:pPr>
              <w:autoSpaceDE w:val="0"/>
              <w:autoSpaceDN w:val="0"/>
              <w:adjustRightInd w:val="0"/>
              <w:jc w:val="center"/>
              <w:rPr>
                <w:b/>
                <w:i/>
                <w:sz w:val="24"/>
                <w:szCs w:val="24"/>
              </w:rPr>
            </w:pPr>
            <w:r>
              <w:rPr>
                <w:b/>
                <w:i/>
                <w:sz w:val="24"/>
                <w:szCs w:val="24"/>
              </w:rPr>
              <w:t>SIMONA MOLDOVAN</w:t>
            </w:r>
          </w:p>
        </w:tc>
      </w:tr>
    </w:tbl>
    <w:p w:rsidR="00256320" w:rsidRPr="008918A6" w:rsidRDefault="00256320" w:rsidP="00256320">
      <w:pPr>
        <w:ind w:firstLine="708"/>
        <w:jc w:val="both"/>
        <w:rPr>
          <w:sz w:val="24"/>
          <w:szCs w:val="24"/>
        </w:rPr>
      </w:pPr>
      <w:r w:rsidRPr="008918A6">
        <w:rPr>
          <w:bCs/>
          <w:sz w:val="24"/>
          <w:szCs w:val="24"/>
        </w:rPr>
        <w:t xml:space="preserve"> </w:t>
      </w:r>
    </w:p>
    <w:p w:rsidR="006C2CF3" w:rsidRPr="003D429E" w:rsidRDefault="006C2CF3" w:rsidP="006C2CF3">
      <w:pPr>
        <w:pStyle w:val="ListParagraph"/>
        <w:autoSpaceDE w:val="0"/>
        <w:autoSpaceDN w:val="0"/>
        <w:adjustRightInd w:val="0"/>
        <w:jc w:val="both"/>
        <w:rPr>
          <w:color w:val="000000"/>
          <w:sz w:val="24"/>
          <w:szCs w:val="24"/>
          <w:lang w:val="ro-RO"/>
        </w:rPr>
      </w:pPr>
    </w:p>
    <w:sectPr w:rsidR="006C2CF3" w:rsidRPr="003D429E" w:rsidSect="00DA0642">
      <w:footerReference w:type="default" r:id="rId28"/>
      <w:pgSz w:w="11909" w:h="16834" w:code="9"/>
      <w:pgMar w:top="540" w:right="839" w:bottom="709" w:left="1134" w:header="720" w:footer="2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417" w:rsidRDefault="00136417" w:rsidP="007A57A1">
      <w:r>
        <w:separator/>
      </w:r>
    </w:p>
  </w:endnote>
  <w:endnote w:type="continuationSeparator" w:id="0">
    <w:p w:rsidR="00136417" w:rsidRDefault="00136417" w:rsidP="007A5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A1" w:rsidRPr="006E6766" w:rsidRDefault="007A57A1" w:rsidP="007A57A1">
    <w:pPr>
      <w:jc w:val="right"/>
      <w:rPr>
        <w:sz w:val="16"/>
        <w:szCs w:val="16"/>
      </w:rPr>
    </w:pPr>
    <w:r w:rsidRPr="006E6766">
      <w:rPr>
        <w:sz w:val="16"/>
        <w:szCs w:val="16"/>
      </w:rPr>
      <w:t>Cod FO53-01</w:t>
    </w:r>
    <w:proofErr w:type="gramStart"/>
    <w:r w:rsidRPr="006E6766">
      <w:rPr>
        <w:sz w:val="16"/>
        <w:szCs w:val="16"/>
      </w:rPr>
      <w:t>,Ver.1</w:t>
    </w:r>
    <w:proofErr w:type="gramEnd"/>
  </w:p>
  <w:p w:rsidR="007A57A1" w:rsidRDefault="007A57A1" w:rsidP="007A57A1">
    <w:pPr>
      <w:pStyle w:val="Footer"/>
      <w:pBdr>
        <w:top w:val="thinThickSmallGap" w:sz="24" w:space="1" w:color="622423"/>
      </w:pBdr>
      <w:rPr>
        <w:rFonts w:ascii="Cambria" w:hAnsi="Cambria"/>
      </w:rPr>
    </w:pPr>
    <w:r>
      <w:rPr>
        <w:rFonts w:ascii="Cambria" w:hAnsi="Cambria"/>
      </w:rPr>
      <w:t xml:space="preserve">Page </w:t>
    </w:r>
    <w:fldSimple w:instr=" PAGE   \* MERGEFORMAT ">
      <w:r w:rsidR="00FF74E9" w:rsidRPr="00FF74E9">
        <w:rPr>
          <w:rFonts w:ascii="Cambria" w:hAnsi="Cambria"/>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417" w:rsidRDefault="00136417" w:rsidP="007A57A1">
      <w:r>
        <w:separator/>
      </w:r>
    </w:p>
  </w:footnote>
  <w:footnote w:type="continuationSeparator" w:id="0">
    <w:p w:rsidR="00136417" w:rsidRDefault="00136417"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6413D"/>
    <w:multiLevelType w:val="hybridMultilevel"/>
    <w:tmpl w:val="83EEE310"/>
    <w:lvl w:ilvl="0" w:tplc="5738929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A65666"/>
    <w:multiLevelType w:val="hybridMultilevel"/>
    <w:tmpl w:val="AC3E5D3A"/>
    <w:lvl w:ilvl="0" w:tplc="A1801F50">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3C77"/>
    <w:rsid w:val="00001F86"/>
    <w:rsid w:val="0001021C"/>
    <w:rsid w:val="0002097B"/>
    <w:rsid w:val="00022342"/>
    <w:rsid w:val="000371E9"/>
    <w:rsid w:val="00040DEF"/>
    <w:rsid w:val="00043DB8"/>
    <w:rsid w:val="00065909"/>
    <w:rsid w:val="00072724"/>
    <w:rsid w:val="00076C30"/>
    <w:rsid w:val="000A0796"/>
    <w:rsid w:val="000A1456"/>
    <w:rsid w:val="000A4350"/>
    <w:rsid w:val="000A5A88"/>
    <w:rsid w:val="000B1FE3"/>
    <w:rsid w:val="000D6A69"/>
    <w:rsid w:val="000F03C6"/>
    <w:rsid w:val="00117015"/>
    <w:rsid w:val="00136417"/>
    <w:rsid w:val="00145956"/>
    <w:rsid w:val="001506D7"/>
    <w:rsid w:val="00176113"/>
    <w:rsid w:val="001823F7"/>
    <w:rsid w:val="00184B73"/>
    <w:rsid w:val="001F3BFC"/>
    <w:rsid w:val="00233C64"/>
    <w:rsid w:val="00236BCB"/>
    <w:rsid w:val="002426FB"/>
    <w:rsid w:val="00256320"/>
    <w:rsid w:val="002735DD"/>
    <w:rsid w:val="002B7DAD"/>
    <w:rsid w:val="002D1A78"/>
    <w:rsid w:val="002E52D1"/>
    <w:rsid w:val="002E5A19"/>
    <w:rsid w:val="002F35A4"/>
    <w:rsid w:val="0031021A"/>
    <w:rsid w:val="003169C6"/>
    <w:rsid w:val="00326D50"/>
    <w:rsid w:val="00346D4D"/>
    <w:rsid w:val="003542A5"/>
    <w:rsid w:val="00367BDD"/>
    <w:rsid w:val="00390295"/>
    <w:rsid w:val="003C1629"/>
    <w:rsid w:val="003D429E"/>
    <w:rsid w:val="003D5E05"/>
    <w:rsid w:val="00432E71"/>
    <w:rsid w:val="00446A95"/>
    <w:rsid w:val="00456D2A"/>
    <w:rsid w:val="0047746C"/>
    <w:rsid w:val="00492194"/>
    <w:rsid w:val="004A41FE"/>
    <w:rsid w:val="004F5930"/>
    <w:rsid w:val="004F5D33"/>
    <w:rsid w:val="00512EA4"/>
    <w:rsid w:val="00530116"/>
    <w:rsid w:val="0054129E"/>
    <w:rsid w:val="0057648A"/>
    <w:rsid w:val="005E34F6"/>
    <w:rsid w:val="005E49F3"/>
    <w:rsid w:val="005F41F2"/>
    <w:rsid w:val="00614A47"/>
    <w:rsid w:val="00651C64"/>
    <w:rsid w:val="00664ABC"/>
    <w:rsid w:val="00664C36"/>
    <w:rsid w:val="00665D7C"/>
    <w:rsid w:val="00673C77"/>
    <w:rsid w:val="00684A9C"/>
    <w:rsid w:val="0069389C"/>
    <w:rsid w:val="006C2CF3"/>
    <w:rsid w:val="006D0E73"/>
    <w:rsid w:val="006E1D1C"/>
    <w:rsid w:val="00707D9A"/>
    <w:rsid w:val="00715D98"/>
    <w:rsid w:val="00720300"/>
    <w:rsid w:val="00746757"/>
    <w:rsid w:val="00761CA8"/>
    <w:rsid w:val="00771E03"/>
    <w:rsid w:val="007A57A1"/>
    <w:rsid w:val="007A6B4E"/>
    <w:rsid w:val="007C1E0C"/>
    <w:rsid w:val="007C2DC1"/>
    <w:rsid w:val="007C55EE"/>
    <w:rsid w:val="007C7C94"/>
    <w:rsid w:val="007D10EE"/>
    <w:rsid w:val="008164CD"/>
    <w:rsid w:val="00826C78"/>
    <w:rsid w:val="00865124"/>
    <w:rsid w:val="00892609"/>
    <w:rsid w:val="008A5AC0"/>
    <w:rsid w:val="008F49DA"/>
    <w:rsid w:val="00910692"/>
    <w:rsid w:val="009111C5"/>
    <w:rsid w:val="00934E38"/>
    <w:rsid w:val="0094390B"/>
    <w:rsid w:val="0095784E"/>
    <w:rsid w:val="009A3E76"/>
    <w:rsid w:val="009C1BD6"/>
    <w:rsid w:val="009E0ADE"/>
    <w:rsid w:val="00A13DD7"/>
    <w:rsid w:val="00A14057"/>
    <w:rsid w:val="00A1578C"/>
    <w:rsid w:val="00A55C85"/>
    <w:rsid w:val="00A71909"/>
    <w:rsid w:val="00A915D6"/>
    <w:rsid w:val="00AA12E4"/>
    <w:rsid w:val="00AB3EC6"/>
    <w:rsid w:val="00AC0FD7"/>
    <w:rsid w:val="00AD4F10"/>
    <w:rsid w:val="00AD75FB"/>
    <w:rsid w:val="00B15000"/>
    <w:rsid w:val="00B15A34"/>
    <w:rsid w:val="00B27AAC"/>
    <w:rsid w:val="00B46F82"/>
    <w:rsid w:val="00B542BA"/>
    <w:rsid w:val="00B7297E"/>
    <w:rsid w:val="00B8261F"/>
    <w:rsid w:val="00B97ED7"/>
    <w:rsid w:val="00BA57C8"/>
    <w:rsid w:val="00BB2F70"/>
    <w:rsid w:val="00BB5F67"/>
    <w:rsid w:val="00BB707D"/>
    <w:rsid w:val="00BD0459"/>
    <w:rsid w:val="00BF68F7"/>
    <w:rsid w:val="00C03AC2"/>
    <w:rsid w:val="00C11FED"/>
    <w:rsid w:val="00C305C2"/>
    <w:rsid w:val="00C327B6"/>
    <w:rsid w:val="00C95659"/>
    <w:rsid w:val="00D25722"/>
    <w:rsid w:val="00D33AD1"/>
    <w:rsid w:val="00D36226"/>
    <w:rsid w:val="00D4511B"/>
    <w:rsid w:val="00D51CD0"/>
    <w:rsid w:val="00D6413E"/>
    <w:rsid w:val="00D72C40"/>
    <w:rsid w:val="00D87C3A"/>
    <w:rsid w:val="00DA0642"/>
    <w:rsid w:val="00DA089D"/>
    <w:rsid w:val="00DB459A"/>
    <w:rsid w:val="00DF354D"/>
    <w:rsid w:val="00DF7747"/>
    <w:rsid w:val="00E0142E"/>
    <w:rsid w:val="00E03CB4"/>
    <w:rsid w:val="00E325F9"/>
    <w:rsid w:val="00EC07BE"/>
    <w:rsid w:val="00ED7CA8"/>
    <w:rsid w:val="00EE4702"/>
    <w:rsid w:val="00F36457"/>
    <w:rsid w:val="00F37C63"/>
    <w:rsid w:val="00F45A2D"/>
    <w:rsid w:val="00F5757C"/>
    <w:rsid w:val="00FC6E15"/>
    <w:rsid w:val="00FD3185"/>
    <w:rsid w:val="00FF0F4A"/>
    <w:rsid w:val="00FF7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 w:type="paragraph" w:styleId="Header">
    <w:name w:val="header"/>
    <w:basedOn w:val="Normal"/>
    <w:link w:val="HeaderChar"/>
    <w:uiPriority w:val="99"/>
    <w:semiHidden/>
    <w:unhideWhenUsed/>
    <w:rsid w:val="007A57A1"/>
    <w:pPr>
      <w:tabs>
        <w:tab w:val="center" w:pos="4703"/>
        <w:tab w:val="right" w:pos="9406"/>
      </w:tabs>
    </w:pPr>
  </w:style>
  <w:style w:type="character" w:customStyle="1" w:styleId="HeaderChar">
    <w:name w:val="Header Char"/>
    <w:basedOn w:val="DefaultParagraphFont"/>
    <w:link w:val="Header"/>
    <w:uiPriority w:val="99"/>
    <w:semiHidden/>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basedOn w:val="DefaultParagraphFont"/>
    <w:link w:val="Footer"/>
    <w:uiPriority w:val="99"/>
    <w:rsid w:val="007A57A1"/>
    <w:rPr>
      <w:rFonts w:ascii="Times New Roman" w:eastAsia="Times New Roman" w:hAnsi="Times New Roman" w:cs="Times New Roman"/>
      <w:sz w:val="20"/>
      <w:szCs w:val="20"/>
    </w:rPr>
  </w:style>
  <w:style w:type="character" w:customStyle="1" w:styleId="tpa">
    <w:name w:val="tpa"/>
    <w:basedOn w:val="DefaultParagraphFont"/>
    <w:rsid w:val="00BD0459"/>
  </w:style>
  <w:style w:type="paragraph" w:styleId="ListParagraph">
    <w:name w:val="List Paragraph"/>
    <w:basedOn w:val="Normal"/>
    <w:uiPriority w:val="34"/>
    <w:qFormat/>
    <w:rsid w:val="00BD0459"/>
    <w:pPr>
      <w:ind w:left="720"/>
      <w:contextualSpacing/>
    </w:pPr>
  </w:style>
  <w:style w:type="character" w:styleId="Hyperlink">
    <w:name w:val="Hyperlink"/>
    <w:uiPriority w:val="99"/>
    <w:rsid w:val="00BA57C8"/>
    <w:rPr>
      <w:color w:val="0000FF"/>
      <w:u w:val="single"/>
    </w:rPr>
  </w:style>
  <w:style w:type="character" w:customStyle="1" w:styleId="salnbdy">
    <w:name w:val="s_aln_bdy"/>
    <w:rsid w:val="00BA57C8"/>
    <w:rPr>
      <w:rFonts w:ascii="Verdana" w:hAnsi="Verdana" w:hint="default"/>
      <w:b w:val="0"/>
      <w:bCs w:val="0"/>
      <w:color w:val="000000"/>
      <w:sz w:val="16"/>
      <w:szCs w:val="16"/>
      <w:shd w:val="clear" w:color="auto" w:fill="FFFFFF"/>
    </w:rPr>
  </w:style>
  <w:style w:type="character" w:customStyle="1" w:styleId="slgi1">
    <w:name w:val="s_lgi1"/>
    <w:rsid w:val="00BA57C8"/>
    <w:rPr>
      <w:rFonts w:ascii="Verdana" w:hAnsi="Verdana" w:hint="default"/>
      <w:b w:val="0"/>
      <w:bCs w:val="0"/>
      <w:color w:val="006400"/>
      <w:sz w:val="16"/>
      <w:szCs w:val="16"/>
      <w:u w:val="single"/>
      <w:shd w:val="clear" w:color="auto" w:fill="FFFFFF"/>
    </w:rPr>
  </w:style>
  <w:style w:type="character" w:customStyle="1" w:styleId="slitttl1">
    <w:name w:val="s_lit_ttl1"/>
    <w:rsid w:val="00BA57C8"/>
    <w:rPr>
      <w:rFonts w:ascii="Verdana" w:hAnsi="Verdana" w:hint="default"/>
      <w:b/>
      <w:bCs/>
      <w:vanish w:val="0"/>
      <w:webHidden w:val="0"/>
      <w:color w:val="8B0000"/>
      <w:sz w:val="16"/>
      <w:szCs w:val="16"/>
      <w:shd w:val="clear" w:color="auto" w:fill="FFFFFF"/>
      <w:specVanish w:val="0"/>
    </w:rPr>
  </w:style>
  <w:style w:type="character" w:customStyle="1" w:styleId="slitbdy">
    <w:name w:val="s_lit_bdy"/>
    <w:rsid w:val="00BA57C8"/>
    <w:rPr>
      <w:rFonts w:ascii="Verdana" w:hAnsi="Verdana" w:hint="default"/>
      <w:b w:val="0"/>
      <w:bCs w:val="0"/>
      <w:color w:val="000000"/>
      <w:sz w:val="16"/>
      <w:szCs w:val="16"/>
      <w:shd w:val="clear" w:color="auto" w:fill="FFFFFF"/>
    </w:rPr>
  </w:style>
  <w:style w:type="character" w:customStyle="1" w:styleId="salnttl1">
    <w:name w:val="s_aln_ttl1"/>
    <w:basedOn w:val="DefaultParagraphFont"/>
    <w:rsid w:val="00715D98"/>
    <w:rPr>
      <w:rFonts w:ascii="Verdana" w:hAnsi="Verdana" w:hint="default"/>
      <w:b/>
      <w:bCs/>
      <w:vanish w:val="0"/>
      <w:webHidden w:val="0"/>
      <w:color w:val="8B0000"/>
      <w:sz w:val="16"/>
      <w:szCs w:val="16"/>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 w:id="11761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ilegis\oficiale\index\act\253080" TargetMode="External"/><Relationship Id="rId18" Type="http://schemas.openxmlformats.org/officeDocument/2006/relationships/hyperlink" Target="file:///D:\ilegis\oficiale\index\act\180888" TargetMode="External"/><Relationship Id="rId26" Type="http://schemas.openxmlformats.org/officeDocument/2006/relationships/hyperlink" Target="file:///D:\ilegis\oficiale\index\act\186607" TargetMode="External"/><Relationship Id="rId3" Type="http://schemas.openxmlformats.org/officeDocument/2006/relationships/styles" Target="styles.xml"/><Relationship Id="rId21" Type="http://schemas.openxmlformats.org/officeDocument/2006/relationships/hyperlink" Target="file:///D:\ilegis\oficiale\index\act\180888" TargetMode="External"/><Relationship Id="rId7" Type="http://schemas.openxmlformats.org/officeDocument/2006/relationships/endnotes" Target="endnotes.xml"/><Relationship Id="rId12" Type="http://schemas.openxmlformats.org/officeDocument/2006/relationships/hyperlink" Target="file:///D:\ilegis\oficiale\index\act\253080" TargetMode="External"/><Relationship Id="rId17" Type="http://schemas.openxmlformats.org/officeDocument/2006/relationships/hyperlink" Target="file:///D:\ilegis\oficiale\index\act\249448" TargetMode="External"/><Relationship Id="rId25" Type="http://schemas.openxmlformats.org/officeDocument/2006/relationships/hyperlink" Target="file:///D:\ilegis\oficiale\index\act\186607" TargetMode="External"/><Relationship Id="rId2" Type="http://schemas.openxmlformats.org/officeDocument/2006/relationships/numbering" Target="numbering.xml"/><Relationship Id="rId16" Type="http://schemas.openxmlformats.org/officeDocument/2006/relationships/hyperlink" Target="file:///D:\ilegis\oficiale\index\act\249448" TargetMode="External"/><Relationship Id="rId20" Type="http://schemas.openxmlformats.org/officeDocument/2006/relationships/hyperlink" Target="file:///D:\ilegis\oficiale\index\act\1808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ilegis\oficiale\index\act\47355" TargetMode="External"/><Relationship Id="rId24" Type="http://schemas.openxmlformats.org/officeDocument/2006/relationships/hyperlink" Target="file:///D:\ilegis\oficiale\index\act\180888" TargetMode="External"/><Relationship Id="rId5" Type="http://schemas.openxmlformats.org/officeDocument/2006/relationships/webSettings" Target="webSettings.xml"/><Relationship Id="rId15" Type="http://schemas.openxmlformats.org/officeDocument/2006/relationships/hyperlink" Target="file:///D:\ilegis\oficiale\index\act\186607" TargetMode="External"/><Relationship Id="rId23" Type="http://schemas.openxmlformats.org/officeDocument/2006/relationships/hyperlink" Target="file:///D:\ilegis\oficiale\index\act\180888" TargetMode="External"/><Relationship Id="rId28" Type="http://schemas.openxmlformats.org/officeDocument/2006/relationships/footer" Target="footer1.xml"/><Relationship Id="rId10" Type="http://schemas.openxmlformats.org/officeDocument/2006/relationships/hyperlink" Target="file:///D:\ilegis\oficiale\index\act\47355" TargetMode="External"/><Relationship Id="rId19" Type="http://schemas.openxmlformats.org/officeDocument/2006/relationships/hyperlink" Target="file:///D:\ilegis\oficiale\index\act\180888" TargetMode="External"/><Relationship Id="rId4" Type="http://schemas.openxmlformats.org/officeDocument/2006/relationships/settings" Target="settings.xml"/><Relationship Id="rId9" Type="http://schemas.openxmlformats.org/officeDocument/2006/relationships/hyperlink" Target="file:///D:\ilegis\oficiale\index\act\47355" TargetMode="External"/><Relationship Id="rId14" Type="http://schemas.openxmlformats.org/officeDocument/2006/relationships/hyperlink" Target="file:///D:\ilegis\oficiale\index\act\253080" TargetMode="External"/><Relationship Id="rId22" Type="http://schemas.openxmlformats.org/officeDocument/2006/relationships/hyperlink" Target="file:///D:\ilegis\oficiale\index\act\180888" TargetMode="External"/><Relationship Id="rId27" Type="http://schemas.openxmlformats.org/officeDocument/2006/relationships/hyperlink" Target="file:///D:\ilegis\oficiale\index\act\18660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FEB34-7CD5-4DF5-A786-C620B0F1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nmircea</cp:lastModifiedBy>
  <cp:revision>5</cp:revision>
  <cp:lastPrinted>2022-06-10T10:40:00Z</cp:lastPrinted>
  <dcterms:created xsi:type="dcterms:W3CDTF">2022-06-10T07:18:00Z</dcterms:created>
  <dcterms:modified xsi:type="dcterms:W3CDTF">2022-06-10T10:41:00Z</dcterms:modified>
</cp:coreProperties>
</file>