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1.73228346456688" w:right="150.47244094488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w:t>
      </w:r>
      <w:r w:rsidDel="00000000" w:rsidR="00000000" w:rsidRPr="00000000">
        <w:rPr>
          <w:rFonts w:ascii="Times New Roman" w:cs="Times New Roman" w:eastAsia="Times New Roman" w:hAnsi="Times New Roman"/>
          <w:sz w:val="24"/>
          <w:szCs w:val="24"/>
          <w:rtl w:val="0"/>
        </w:rPr>
        <w:t xml:space="preserve">780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02">
      <w:pPr>
        <w:pStyle w:val="Title"/>
        <w:spacing w:after="0" w:lineRule="auto"/>
        <w:ind w:left="141.73228346456688" w:right="150.4724409448835" w:firstLine="0"/>
        <w:jc w:val="center"/>
        <w:rPr>
          <w:rFonts w:ascii="Times New Roman" w:cs="Times New Roman" w:eastAsia="Times New Roman" w:hAnsi="Times New Roman"/>
          <w:sz w:val="40"/>
          <w:szCs w:val="40"/>
          <w:vertAlign w:val="baseline"/>
        </w:rPr>
      </w:pPr>
      <w:bookmarkStart w:colFirst="0" w:colLast="0" w:name="_heading=h.sq6zf96d262y" w:id="0"/>
      <w:bookmarkEnd w:id="0"/>
      <w:r w:rsidDel="00000000" w:rsidR="00000000" w:rsidRPr="00000000">
        <w:rPr>
          <w:rFonts w:ascii="Times New Roman" w:cs="Times New Roman" w:eastAsia="Times New Roman" w:hAnsi="Times New Roman"/>
          <w:sz w:val="40"/>
          <w:szCs w:val="40"/>
          <w:vertAlign w:val="baseline"/>
          <w:rtl w:val="0"/>
        </w:rPr>
        <w:t xml:space="preserve">RAPORT DE SPECIALITATE</w:t>
      </w:r>
    </w:p>
    <w:p w:rsidR="00000000" w:rsidDel="00000000" w:rsidP="00000000" w:rsidRDefault="00000000" w:rsidRPr="00000000" w14:paraId="00000003">
      <w:pPr>
        <w:spacing w:after="200" w:lineRule="auto"/>
        <w:ind w:left="141.73228346456688" w:right="150.4724409448835" w:firstLine="0"/>
        <w:jc w:val="center"/>
        <w:rPr>
          <w:rFonts w:ascii="Times New Roman" w:cs="Times New Roman" w:eastAsia="Times New Roman" w:hAnsi="Times New Roman"/>
          <w:b w:val="1"/>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privind aprobarea disponibilității resurselor proprii și disponibilitatea temporară a fondurilor pentru implementare activități până la rambursare pentru Direcția de Asistență Socială a Municipiului Timișoara în cadrul proiectului</w:t>
      </w:r>
      <w:r w:rsidDel="00000000" w:rsidR="00000000" w:rsidRPr="00000000">
        <w:rPr>
          <w:rFonts w:ascii="Times New Roman" w:cs="Times New Roman" w:eastAsia="Times New Roman" w:hAnsi="Times New Roman"/>
          <w:b w:val="1"/>
          <w:sz w:val="24"/>
          <w:szCs w:val="24"/>
          <w:rtl w:val="0"/>
        </w:rPr>
        <w:t xml:space="preserve"> 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(ROHU00105)</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04">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Direcția de Asistență Socială a Municipiului Timișoara, în calitate de partener a elaborat secțiunile aferente împreună cu documentele anexe din cererea de finanțare pentru proiectul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(Resurse și practici de îngrijire pentru îmbătrânirea sănătoasă) - ROHU00105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în vederea obținerii de finanțare externă nerambursabilă prin </w:t>
      </w:r>
      <w:r w:rsidDel="00000000" w:rsidR="00000000" w:rsidRPr="00000000">
        <w:rPr>
          <w:rFonts w:ascii="Times New Roman" w:cs="Times New Roman" w:eastAsia="Times New Roman" w:hAnsi="Times New Roman"/>
          <w:b w:val="1"/>
          <w:sz w:val="24"/>
          <w:szCs w:val="24"/>
          <w:highlight w:val="white"/>
          <w:rtl w:val="0"/>
        </w:rPr>
        <w:t xml:space="preserve">Programul Interreg VI-A România-Ungaria, </w:t>
      </w:r>
      <w:r w:rsidDel="00000000" w:rsidR="00000000" w:rsidRPr="00000000">
        <w:rPr>
          <w:rFonts w:ascii="Times New Roman" w:cs="Times New Roman" w:eastAsia="Times New Roman" w:hAnsi="Times New Roman"/>
          <w:sz w:val="24"/>
          <w:szCs w:val="24"/>
          <w:rtl w:val="0"/>
        </w:rPr>
        <w:t xml:space="preserve">Prioritatea 2/RSO4.5 </w:t>
      </w:r>
      <w:r w:rsidDel="00000000" w:rsidR="00000000" w:rsidRPr="00000000">
        <w:rPr>
          <w:rFonts w:ascii="Times New Roman" w:cs="Times New Roman" w:eastAsia="Times New Roman" w:hAnsi="Times New Roman"/>
          <w:i w:val="1"/>
          <w:sz w:val="24"/>
          <w:szCs w:val="24"/>
          <w:rtl w:val="0"/>
        </w:rPr>
        <w:t xml:space="preserve">Asigurarea accesului egal la servicii de sănătate, stimularea rezilienței sistemelor de sănătate, inclusiv îngrijirea primară și promovarea tranziției de la instituționalizare la servicii de îngrijire în familie și în comunitate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cu </w:t>
      </w:r>
      <w:r w:rsidDel="00000000" w:rsidR="00000000" w:rsidRPr="00000000">
        <w:rPr>
          <w:rFonts w:ascii="Times New Roman" w:cs="Times New Roman" w:eastAsia="Times New Roman" w:hAnsi="Times New Roman"/>
          <w:b w:val="1"/>
          <w:sz w:val="24"/>
          <w:szCs w:val="24"/>
          <w:highlight w:val="white"/>
          <w:rtl w:val="0"/>
        </w:rPr>
        <w:t xml:space="preserve">termen depunere 26.01.2024.</w:t>
      </w:r>
      <w:r w:rsidDel="00000000" w:rsidR="00000000" w:rsidRPr="00000000">
        <w:rPr>
          <w:rtl w:val="0"/>
        </w:rPr>
      </w:r>
    </w:p>
    <w:p w:rsidR="00000000" w:rsidDel="00000000" w:rsidP="00000000" w:rsidRDefault="00000000" w:rsidRPr="00000000" w14:paraId="00000005">
      <w:pPr>
        <w:spacing w:after="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propune ca obiectiv general investiția în servicii medico-sociale pentru a fi oferite către 6.500 de utilizatori anuali în județul Timiș și Hódmezővásárhely-Makó. Investițiile vor fi completate de un plan comun de acțiune care promovează îmbătrânirea sănătoasă în zona transfrontalieră.</w:t>
      </w:r>
    </w:p>
    <w:p w:rsidR="00000000" w:rsidDel="00000000" w:rsidP="00000000" w:rsidRDefault="00000000" w:rsidRPr="00000000" w14:paraId="00000006">
      <w:pPr>
        <w:spacing w:after="0" w:before="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Principalele acțiuni propuse în proiect de către Direcția de Asistență Socială a Mun. Timișoara sunt:</w:t>
      </w:r>
    </w:p>
    <w:p w:rsidR="00000000" w:rsidDel="00000000" w:rsidP="00000000" w:rsidRDefault="00000000" w:rsidRPr="00000000" w14:paraId="00000007">
      <w:pPr>
        <w:numPr>
          <w:ilvl w:val="0"/>
          <w:numId w:val="3"/>
        </w:numPr>
        <w:spacing w:after="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dotarea celor 4 centre sociale care deservesc preponderent vârstnicii cu echipamente medicale și mobilier: Centrul de zi de integrare/reintegrare socială pentru persoane aflate în dificultate ”Dr. Aurora Heim”, Complex de Servicii pentru persoane vârstnice ”Sf. arh. Mihail și Gavril” - Centrul de zi pentru bătrâni, Centrul de socializare și petrecerea timpului liber Clubul pensionarilor, Căminul pentru persoane vârstnice ”Inocențiu M. Klein”;</w:t>
      </w:r>
      <w:r w:rsidDel="00000000" w:rsidR="00000000" w:rsidRPr="00000000">
        <w:rPr>
          <w:rtl w:val="0"/>
        </w:rPr>
      </w:r>
    </w:p>
    <w:p w:rsidR="00000000" w:rsidDel="00000000" w:rsidP="00000000" w:rsidRDefault="00000000" w:rsidRPr="00000000" w14:paraId="00000008">
      <w:pPr>
        <w:numPr>
          <w:ilvl w:val="0"/>
          <w:numId w:val="3"/>
        </w:numPr>
        <w:spacing w:after="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organizarea de grupuri de consultare locală cu specialiști care lucrează preponderent cu vârstnici în domeniul medico-social, în vederea dezvoltării unui plan de acțiune transfrontalier pentru îmbătrânire sănătoasă;</w:t>
      </w:r>
      <w:r w:rsidDel="00000000" w:rsidR="00000000" w:rsidRPr="00000000">
        <w:rPr>
          <w:rtl w:val="0"/>
        </w:rPr>
      </w:r>
    </w:p>
    <w:p w:rsidR="00000000" w:rsidDel="00000000" w:rsidP="00000000" w:rsidRDefault="00000000" w:rsidRPr="00000000" w14:paraId="00000009">
      <w:pPr>
        <w:numPr>
          <w:ilvl w:val="0"/>
          <w:numId w:val="3"/>
        </w:numPr>
        <w:spacing w:after="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organizarea și participarea la schimburi de experiență transfrontaliere;</w:t>
      </w:r>
    </w:p>
    <w:p w:rsidR="00000000" w:rsidDel="00000000" w:rsidP="00000000" w:rsidRDefault="00000000" w:rsidRPr="00000000" w14:paraId="0000000A">
      <w:pPr>
        <w:numPr>
          <w:ilvl w:val="0"/>
          <w:numId w:val="3"/>
        </w:numPr>
        <w:spacing w:after="200" w:before="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organizarea de module de dezvoltare profesională pentru aceiași specialiști.</w:t>
      </w:r>
    </w:p>
    <w:p w:rsidR="00000000" w:rsidDel="00000000" w:rsidP="00000000" w:rsidRDefault="00000000" w:rsidRPr="00000000" w14:paraId="0000000B">
      <w:pPr>
        <w:ind w:left="141.73228346456688"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proiectului va fi de </w:t>
      </w:r>
      <w:r w:rsidDel="00000000" w:rsidR="00000000" w:rsidRPr="00000000">
        <w:rPr>
          <w:rFonts w:ascii="Times New Roman" w:cs="Times New Roman" w:eastAsia="Times New Roman" w:hAnsi="Times New Roman"/>
          <w:sz w:val="24"/>
          <w:szCs w:val="24"/>
          <w:rtl w:val="0"/>
        </w:rPr>
        <w:t xml:space="preserve">30 luni</w:t>
      </w:r>
      <w:r w:rsidDel="00000000" w:rsidR="00000000" w:rsidRPr="00000000">
        <w:rPr>
          <w:rFonts w:ascii="Times New Roman" w:cs="Times New Roman" w:eastAsia="Times New Roman" w:hAnsi="Times New Roman"/>
          <w:sz w:val="24"/>
          <w:szCs w:val="24"/>
          <w:rtl w:val="0"/>
        </w:rPr>
        <w:t xml:space="preserve">, în perioada estimată septembrie 2024 - februarie 2027</w:t>
      </w:r>
    </w:p>
    <w:p w:rsidR="00000000" w:rsidDel="00000000" w:rsidP="00000000" w:rsidRDefault="00000000" w:rsidRPr="00000000" w14:paraId="0000000C">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În vederea depunerii proiectului, conform ghidului de finanțare, pentru </w:t>
      </w:r>
      <w:r w:rsidDel="00000000" w:rsidR="00000000" w:rsidRPr="00000000">
        <w:rPr>
          <w:rFonts w:ascii="Times New Roman" w:cs="Times New Roman" w:eastAsia="Times New Roman" w:hAnsi="Times New Roman"/>
          <w:sz w:val="24"/>
          <w:szCs w:val="24"/>
          <w:rtl w:val="0"/>
        </w:rPr>
        <w:t xml:space="preserve">Direcția de Asistență Socială a Municipiului Timișoara este necesară </w:t>
      </w:r>
      <w:r w:rsidDel="00000000" w:rsidR="00000000" w:rsidRPr="00000000">
        <w:rPr>
          <w:rFonts w:ascii="Times New Roman" w:cs="Times New Roman" w:eastAsia="Times New Roman" w:hAnsi="Times New Roman"/>
          <w:b w:val="1"/>
          <w:sz w:val="24"/>
          <w:szCs w:val="24"/>
          <w:rtl w:val="0"/>
        </w:rPr>
        <w:t xml:space="preserve">aprobarea disponibilității resurselor proprii și disponibilitatea temporară a fondurilor pentru implementare activităților proprii până la rambursare.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va contribui la crearea unui context mai favorabil conceptului de îmbătrânire sănătoasă, așa cum este el definit de către planul ONU - </w:t>
      </w:r>
      <w:r w:rsidDel="00000000" w:rsidR="00000000" w:rsidRPr="00000000">
        <w:rPr>
          <w:rFonts w:ascii="Times New Roman" w:cs="Times New Roman" w:eastAsia="Times New Roman" w:hAnsi="Times New Roman"/>
          <w:i w:val="1"/>
          <w:sz w:val="24"/>
          <w:szCs w:val="24"/>
          <w:rtl w:val="0"/>
        </w:rPr>
        <w:t xml:space="preserve">The United Nations Decade of Healthy Ageing (2021–2030)</w:t>
      </w:r>
      <w:r w:rsidDel="00000000" w:rsidR="00000000" w:rsidRPr="00000000">
        <w:rPr>
          <w:rFonts w:ascii="Times New Roman" w:cs="Times New Roman" w:eastAsia="Times New Roman" w:hAnsi="Times New Roman"/>
          <w:sz w:val="24"/>
          <w:szCs w:val="24"/>
          <w:rtl w:val="0"/>
        </w:rPr>
        <w:t xml:space="preserve"> - adaptat contextului nostru transfrontalier România-Ungaria, astfel încât impactul proiectului să se mențină pe termen lung și să genereze noi inițiative în această direcție.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141.73228346456688" w:right="150.4724409448835"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În același timp Direcția de Asistență Socială va beneficia de activitățile și rezultatele proiectului atât din perspectiva profesionalizării angajaților proprii implicați în activități prin creșterea capacității lor de implementare proiecte cu finanțare externă, cooperarea și comunicarea transfrontalieră, adaptarea metodelor de lucru cu vârstnici prin includerea standardelor moderne și schimburilor de experiență cu partenerii unguri.</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150.47244094488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 o valoare totală de </w:t>
      </w:r>
      <w:r w:rsidDel="00000000" w:rsidR="00000000" w:rsidRPr="00000000">
        <w:rPr>
          <w:rFonts w:ascii="Times New Roman" w:cs="Times New Roman" w:eastAsia="Times New Roman" w:hAnsi="Times New Roman"/>
          <w:b w:val="1"/>
          <w:sz w:val="24"/>
          <w:szCs w:val="24"/>
          <w:rtl w:val="0"/>
        </w:rPr>
        <w:t xml:space="preserve">2.500.000,00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dorește a fi implementat în parteneriat după cum urmează: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Lider proiect 1 (</w:t>
      </w:r>
      <w:r w:rsidDel="00000000" w:rsidR="00000000" w:rsidRPr="00000000">
        <w:rPr>
          <w:rFonts w:ascii="Times New Roman" w:cs="Times New Roman" w:eastAsia="Times New Roman" w:hAnsi="Times New Roman"/>
          <w:sz w:val="24"/>
          <w:szCs w:val="24"/>
          <w:rtl w:val="0"/>
        </w:rPr>
        <w:t xml:space="preserve">România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Spitalul Clinic Municipal de Urgenţă Timişoara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buget partener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 </w:t>
      </w:r>
      <w:r w:rsidDel="00000000" w:rsidR="00000000" w:rsidRPr="00000000">
        <w:rPr>
          <w:rFonts w:ascii="Times New Roman" w:cs="Times New Roman" w:eastAsia="Times New Roman" w:hAnsi="Times New Roman"/>
          <w:sz w:val="24"/>
          <w:szCs w:val="24"/>
          <w:rtl w:val="0"/>
        </w:rPr>
        <w:t xml:space="preserve">1.025.000,00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euro</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Partener 2 (Ungaria) - Hódmezővásárhely-Makó Health Care Centre, buget partener proiect 925.000,00.</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Partener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(România) – </w:t>
      </w:r>
      <w:r w:rsidDel="00000000" w:rsidR="00000000" w:rsidRPr="00000000">
        <w:rPr>
          <w:rFonts w:ascii="Times New Roman" w:cs="Times New Roman" w:eastAsia="Times New Roman" w:hAnsi="Times New Roman"/>
          <w:sz w:val="24"/>
          <w:szCs w:val="24"/>
          <w:rtl w:val="0"/>
        </w:rPr>
        <w:t xml:space="preserve">Direcția de Asistență Socială a Municipiului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Timișoara, buget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partener proiect </w:t>
      </w:r>
      <w:r w:rsidDel="00000000" w:rsidR="00000000" w:rsidRPr="00000000">
        <w:rPr>
          <w:rFonts w:ascii="Times New Roman" w:cs="Times New Roman" w:eastAsia="Times New Roman" w:hAnsi="Times New Roman"/>
          <w:b w:val="1"/>
          <w:sz w:val="24"/>
          <w:szCs w:val="24"/>
          <w:rtl w:val="0"/>
        </w:rPr>
        <w:t xml:space="preserve">550.000,00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euro</w:t>
      </w:r>
      <w:r w:rsidDel="00000000" w:rsidR="00000000" w:rsidRPr="00000000">
        <w:rPr>
          <w:rtl w:val="0"/>
        </w:rPr>
      </w:r>
    </w:p>
    <w:p w:rsidR="00000000" w:rsidDel="00000000" w:rsidP="00000000" w:rsidRDefault="00000000" w:rsidRPr="00000000" w14:paraId="00000013">
      <w:pPr>
        <w:spacing w:after="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În concluzie, propunem următoarele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disponibilității resurselor proprii și disponibilitatea temporară a fondurilor pentru implementare activități până la rambursare pentru Direcția de Asistență Socială a Municipiului Timișoara în cadrul proiectului </w:t>
      </w:r>
      <w:r w:rsidDel="00000000" w:rsidR="00000000" w:rsidRPr="00000000">
        <w:rPr>
          <w:rFonts w:ascii="Times New Roman" w:cs="Times New Roman" w:eastAsia="Times New Roman" w:hAnsi="Times New Roman"/>
          <w:b w:val="1"/>
          <w:sz w:val="24"/>
          <w:szCs w:val="24"/>
          <w:rtl w:val="0"/>
        </w:rPr>
        <w:t xml:space="preserve">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(ROHU00105)</w:t>
      </w:r>
      <w:r w:rsidDel="00000000" w:rsidR="00000000" w:rsidRPr="00000000">
        <w:rPr>
          <w:rFonts w:ascii="Times New Roman" w:cs="Times New Roman" w:eastAsia="Times New Roman" w:hAnsi="Times New Roman"/>
          <w:sz w:val="24"/>
          <w:szCs w:val="24"/>
          <w:rtl w:val="0"/>
        </w:rPr>
        <w:t xml:space="preserve"> după cum urmează:</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aprobarea acoperirii cheltuielilor (eligibile și neeligibile) aferente proiectului pentru Direcția de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sistență Socială a Municipiului Timișoara;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contribuției proprii în procent de 2%, adică </w:t>
      </w:r>
      <w:r w:rsidDel="00000000" w:rsidR="00000000" w:rsidRPr="00000000">
        <w:rPr>
          <w:rFonts w:ascii="Times New Roman" w:cs="Times New Roman" w:eastAsia="Times New Roman" w:hAnsi="Times New Roman"/>
          <w:b w:val="1"/>
          <w:sz w:val="24"/>
          <w:szCs w:val="24"/>
          <w:rtl w:val="0"/>
        </w:rPr>
        <w:t xml:space="preserve">11.000,00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bugetul total eligibil care este de </w:t>
      </w:r>
      <w:r w:rsidDel="00000000" w:rsidR="00000000" w:rsidRPr="00000000">
        <w:rPr>
          <w:rFonts w:ascii="Times New Roman" w:cs="Times New Roman" w:eastAsia="Times New Roman" w:hAnsi="Times New Roman"/>
          <w:b w:val="1"/>
          <w:sz w:val="24"/>
          <w:szCs w:val="24"/>
          <w:rtl w:val="0"/>
        </w:rPr>
        <w:t xml:space="preserve">550.000,00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Direcția de asistență Socială a Municipiului Timișoara;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disponibilității temporare a fondurilor până la rambursarea acestora de către program pentru Direcția de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sistență Socială a Municipiului Timișoara;</w:t>
      </w:r>
      <w:r w:rsidDel="00000000" w:rsidR="00000000" w:rsidRPr="00000000">
        <w:rPr>
          <w:rtl w:val="0"/>
        </w:rPr>
      </w:r>
    </w:p>
    <w:tbl>
      <w:tblPr>
        <w:tblStyle w:val="Table1"/>
        <w:tblW w:w="9765.0" w:type="dxa"/>
        <w:jc w:val="left"/>
        <w:tblInd w:w="141.73228346456688"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805"/>
        <w:gridCol w:w="3705"/>
        <w:gridCol w:w="3255"/>
        <w:tblGridChange w:id="0">
          <w:tblGrid>
            <w:gridCol w:w="2805"/>
            <w:gridCol w:w="3705"/>
            <w:gridCol w:w="325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8">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w:t>
            </w:r>
          </w:p>
        </w:tc>
        <w:tc>
          <w:tcPr>
            <w:shd w:fill="auto" w:val="clear"/>
            <w:tcMar>
              <w:top w:w="0.0" w:type="dxa"/>
              <w:left w:w="0.0" w:type="dxa"/>
              <w:bottom w:w="0.0" w:type="dxa"/>
              <w:right w:w="0.0" w:type="dxa"/>
            </w:tcMar>
            <w:vAlign w:val="top"/>
          </w:tcPr>
          <w:p w:rsidR="00000000" w:rsidDel="00000000" w:rsidP="00000000" w:rsidRDefault="00000000" w:rsidRPr="00000000" w14:paraId="00000019">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 adjunct</w:t>
            </w:r>
          </w:p>
        </w:tc>
        <w:tc>
          <w:tcPr>
            <w:shd w:fill="auto" w:val="clear"/>
            <w:tcMar>
              <w:top w:w="0.0" w:type="dxa"/>
              <w:left w:w="0.0" w:type="dxa"/>
              <w:bottom w:w="0.0" w:type="dxa"/>
              <w:right w:w="0.0" w:type="dxa"/>
            </w:tcMar>
            <w:vAlign w:val="top"/>
          </w:tcPr>
          <w:p w:rsidR="00000000" w:rsidDel="00000000" w:rsidP="00000000" w:rsidRDefault="00000000" w:rsidRPr="00000000" w14:paraId="0000001A">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Șef Serviciu Dezvoltare Strategii Programe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Emese ESZTERO</w:t>
            </w:r>
          </w:p>
        </w:tc>
        <w:tc>
          <w:tcPr>
            <w:shd w:fill="auto" w:val="clear"/>
            <w:tcMar>
              <w:top w:w="0.0" w:type="dxa"/>
              <w:left w:w="0.0" w:type="dxa"/>
              <w:bottom w:w="0.0" w:type="dxa"/>
              <w:right w:w="0.0" w:type="dxa"/>
            </w:tcMar>
            <w:vAlign w:val="top"/>
          </w:tcPr>
          <w:p w:rsidR="00000000" w:rsidDel="00000000" w:rsidP="00000000" w:rsidRDefault="00000000" w:rsidRPr="00000000" w14:paraId="0000001C">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Gheorghe Florin VOICHESCU</w:t>
            </w:r>
          </w:p>
        </w:tc>
        <w:tc>
          <w:tcPr>
            <w:shd w:fill="auto" w:val="clear"/>
            <w:tcMar>
              <w:top w:w="0.0" w:type="dxa"/>
              <w:left w:w="0.0" w:type="dxa"/>
              <w:bottom w:w="0.0" w:type="dxa"/>
              <w:right w:w="0.0" w:type="dxa"/>
            </w:tcMar>
            <w:vAlign w:val="top"/>
          </w:tcPr>
          <w:p w:rsidR="00000000" w:rsidDel="00000000" w:rsidP="00000000" w:rsidRDefault="00000000" w:rsidRPr="00000000" w14:paraId="0000001D">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Codruța DARIDA</w:t>
            </w:r>
          </w:p>
        </w:tc>
      </w:tr>
    </w:tbl>
    <w:p w:rsidR="00000000" w:rsidDel="00000000" w:rsidP="00000000" w:rsidRDefault="00000000" w:rsidRPr="00000000" w14:paraId="0000001E">
      <w:pPr>
        <w:spacing w:after="20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before="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Întocmit,</w:t>
      </w:r>
    </w:p>
    <w:p w:rsidR="00000000" w:rsidDel="00000000" w:rsidP="00000000" w:rsidRDefault="00000000" w:rsidRPr="00000000" w14:paraId="00000020">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Tătaru </w:t>
      </w:r>
    </w:p>
    <w:p w:rsidR="00000000" w:rsidDel="00000000" w:rsidP="00000000" w:rsidRDefault="00000000" w:rsidRPr="00000000" w14:paraId="00000021">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Dana Lazăr</w:t>
      </w:r>
    </w:p>
    <w:p w:rsidR="00000000" w:rsidDel="00000000" w:rsidP="00000000" w:rsidRDefault="00000000" w:rsidRPr="00000000" w14:paraId="00000022">
      <w:pPr>
        <w:spacing w:after="0" w:before="0" w:line="240" w:lineRule="auto"/>
        <w:ind w:left="0" w:right="150.472440944883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Cod FO53-01, ver.2</w:t>
      </w:r>
      <w:r w:rsidDel="00000000" w:rsidR="00000000" w:rsidRPr="00000000">
        <w:rPr>
          <w:rFonts w:ascii="Times New Roman" w:cs="Times New Roman" w:eastAsia="Times New Roman" w:hAnsi="Times New Roman"/>
          <w:b w:val="1"/>
          <w:sz w:val="24"/>
          <w:szCs w:val="24"/>
          <w:rtl w:val="0"/>
        </w:rPr>
        <w:tab/>
        <w:tab/>
        <w:tab/>
        <w:tab/>
        <w:t xml:space="preserve"> </w:t>
      </w:r>
    </w:p>
    <w:sectPr>
      <w:headerReference r:id="rId7" w:type="default"/>
      <w:footerReference r:id="rId8" w:type="default"/>
      <w:pgSz w:h="16838" w:w="11906" w:orient="portrait"/>
      <w:pgMar w:bottom="0" w:top="2409.448818897638" w:left="993" w:right="857.0078740157493" w:header="425" w:footer="1784.99999999999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center" w:leader="none" w:pos="5244"/>
      </w:tabs>
      <w:spacing w:after="0" w:before="0" w:line="240" w:lineRule="auto"/>
      <w:ind w:left="-1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-145569</wp:posOffset>
              </wp:positionH>
              <wp:positionV relativeFrom="paragraph">
                <wp:posOffset>0</wp:posOffset>
              </wp:positionV>
              <wp:extent cx="6587490" cy="980508"/>
              <wp:effectExtent b="0" l="0" r="0" t="0"/>
              <wp:wrapNone/>
              <wp:docPr id="1" name=""/>
              <a:graphic>
                <a:graphicData uri="http://schemas.microsoft.com/office/word/2010/wordprocessingGroup">
                  <wpg:wgp>
                    <wpg:cNvGrpSpPr/>
                    <wpg:grpSpPr>
                      <a:xfrm>
                        <a:off x="2057000" y="3339500"/>
                        <a:ext cx="6587490" cy="980508"/>
                        <a:chOff x="2057000" y="3339500"/>
                        <a:chExt cx="6578050" cy="970450"/>
                      </a:xfrm>
                    </wpg:grpSpPr>
                    <wps:wsp>
                      <wps:cNvSpPr/>
                      <wps:cNvPr id="2" name="Shape 2"/>
                      <wps:spPr>
                        <a:xfrm>
                          <a:off x="2061775" y="3344275"/>
                          <a:ext cx="6568500" cy="9609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 name="Shape 3"/>
                        <pic:cNvPicPr preferRelativeResize="0"/>
                      </pic:nvPicPr>
                      <pic:blipFill rotWithShape="1">
                        <a:blip r:embed="rId1">
                          <a:alphaModFix/>
                        </a:blip>
                        <a:srcRect b="17511" l="0" r="0" t="12612"/>
                        <a:stretch/>
                      </pic:blipFill>
                      <pic:spPr>
                        <a:xfrm>
                          <a:off x="4612575" y="3956450"/>
                          <a:ext cx="1466850" cy="306175"/>
                        </a:xfrm>
                        <a:prstGeom prst="rect">
                          <a:avLst/>
                        </a:prstGeom>
                        <a:noFill/>
                        <a:ln>
                          <a:noFill/>
                        </a:ln>
                      </pic:spPr>
                    </pic:pic>
                    <wps:wsp>
                      <wps:cNvSpPr txBox="1"/>
                      <wps:cNvPr id="4" name="Shape 4"/>
                      <wps:spPr>
                        <a:xfrm>
                          <a:off x="2296350" y="3344275"/>
                          <a:ext cx="6075000" cy="612300"/>
                        </a:xfrm>
                        <a:prstGeom prst="rect">
                          <a:avLst/>
                        </a:prstGeom>
                        <a:noFill/>
                        <a:ln>
                          <a:noFill/>
                        </a:ln>
                      </wps:spPr>
                      <wps:txbx>
                        <w:txbxContent>
                          <w:p w:rsidR="00000000" w:rsidDel="00000000" w:rsidP="00000000" w:rsidRDefault="00000000" w:rsidRPr="00000000">
                            <w:pPr>
                              <w:spacing w:after="0" w:before="0" w:line="240"/>
                              <w:ind w:left="-141.99999809265137" w:right="0"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*Sediu administrativ: Str. Ioan Plavosin Nr. 21 Tel: 0356/416050 Fax: 0356/416049 </w:t>
                            </w:r>
                          </w:p>
                          <w:p w:rsidR="00000000" w:rsidDel="00000000" w:rsidP="00000000" w:rsidRDefault="00000000" w:rsidRPr="00000000">
                            <w:pPr>
                              <w:spacing w:after="0" w:before="0" w:line="240"/>
                              <w:ind w:left="-141.99999809265137" w:right="0"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Sediu social: Bulevardul Regele Carol I, nr.10 Tel/fax 0256/220583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e-mail: </w:t>
                            </w: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dastimisoara@gmail.com</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website: </w:t>
                            </w:r>
                            <w:r w:rsidDel="00000000" w:rsidR="00000000" w:rsidRPr="00000000">
                              <w:rPr>
                                <w:rFonts w:ascii="Times New Roman" w:cs="Times New Roman" w:eastAsia="Times New Roman" w:hAnsi="Times New Roman"/>
                                <w:b w:val="0"/>
                                <w:i w:val="0"/>
                                <w:smallCaps w:val="0"/>
                                <w:strike w:val="0"/>
                                <w:color w:val="000099"/>
                                <w:sz w:val="22"/>
                                <w:u w:val="single"/>
                                <w:vertAlign w:val="baseline"/>
                              </w:rPr>
                              <w:t xml:space="preserve">www.socialtm.ro</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wpg:wgp>
                </a:graphicData>
              </a:graphic>
            </wp:anchor>
          </w:drawing>
        </mc:Choice>
        <mc:Fallback>
          <w:drawing>
            <wp:anchor allowOverlap="1" behindDoc="1" distB="0" distT="0" distL="0" distR="0" hidden="0" layoutInCell="1" locked="0" relativeHeight="0" simplePos="0">
              <wp:simplePos x="0" y="0"/>
              <wp:positionH relativeFrom="column">
                <wp:posOffset>-145569</wp:posOffset>
              </wp:positionH>
              <wp:positionV relativeFrom="paragraph">
                <wp:posOffset>0</wp:posOffset>
              </wp:positionV>
              <wp:extent cx="6587490" cy="98050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587490" cy="98050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-145569</wp:posOffset>
              </wp:positionH>
              <wp:positionV relativeFrom="paragraph">
                <wp:posOffset>47625</wp:posOffset>
              </wp:positionV>
              <wp:extent cx="6591300" cy="1101689"/>
              <wp:effectExtent b="0" l="0" r="0" t="0"/>
              <wp:wrapNone/>
              <wp:docPr id="2" name=""/>
              <a:graphic>
                <a:graphicData uri="http://schemas.microsoft.com/office/word/2010/wordprocessingGroup">
                  <wpg:wgp>
                    <wpg:cNvGrpSpPr/>
                    <wpg:grpSpPr>
                      <a:xfrm>
                        <a:off x="2018900" y="3260550"/>
                        <a:ext cx="6591300" cy="1101689"/>
                        <a:chOff x="2018900" y="3260550"/>
                        <a:chExt cx="6654250" cy="1106350"/>
                      </a:xfrm>
                    </wpg:grpSpPr>
                    <wps:wsp>
                      <wps:cNvSpPr/>
                      <wps:cNvPr id="5" name="Shape 5"/>
                      <wps:spPr>
                        <a:xfrm>
                          <a:off x="2023675" y="3265325"/>
                          <a:ext cx="6644700" cy="10968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1" id="6" name="Shape 6"/>
                        <pic:cNvPicPr preferRelativeResize="0"/>
                      </pic:nvPicPr>
                      <pic:blipFill>
                        <a:blip r:embed="rId1">
                          <a:alphaModFix/>
                        </a:blip>
                        <a:stretch>
                          <a:fillRect/>
                        </a:stretch>
                      </pic:blipFill>
                      <pic:spPr>
                        <a:xfrm>
                          <a:off x="2172350" y="3342610"/>
                          <a:ext cx="762000" cy="933450"/>
                        </a:xfrm>
                        <a:prstGeom prst="rect">
                          <a:avLst/>
                        </a:prstGeom>
                        <a:noFill/>
                        <a:ln>
                          <a:noFill/>
                        </a:ln>
                      </pic:spPr>
                    </pic:pic>
                    <pic:pic>
                      <pic:nvPicPr>
                        <pic:cNvPr descr="d:\Users\Dorian\Downloads\20049574_746531602192446_498538114_o.png" id="7" name="Shape 7"/>
                        <pic:cNvPicPr preferRelativeResize="0"/>
                      </pic:nvPicPr>
                      <pic:blipFill>
                        <a:blip r:embed="rId2">
                          <a:alphaModFix/>
                        </a:blip>
                        <a:stretch>
                          <a:fillRect/>
                        </a:stretch>
                      </pic:blipFill>
                      <pic:spPr>
                        <a:xfrm>
                          <a:off x="7611950" y="3389850"/>
                          <a:ext cx="951340" cy="813300"/>
                        </a:xfrm>
                        <a:prstGeom prst="rect">
                          <a:avLst/>
                        </a:prstGeom>
                        <a:noFill/>
                        <a:ln>
                          <a:noFill/>
                        </a:ln>
                      </pic:spPr>
                    </pic:pic>
                    <wps:wsp>
                      <wps:cNvSpPr txBox="1"/>
                      <wps:cNvPr id="8" name="Shape 8"/>
                      <wps:spPr>
                        <a:xfrm>
                          <a:off x="2934350" y="3389850"/>
                          <a:ext cx="4677600" cy="813300"/>
                        </a:xfrm>
                        <a:prstGeom prst="rect">
                          <a:avLst/>
                        </a:prstGeom>
                        <a:noFill/>
                        <a:ln>
                          <a:noFill/>
                        </a:ln>
                      </wps:spPr>
                      <wps:txbx>
                        <w:txbxContent>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CONSILIUL LOCAL AL MUNICIPIULUI TIMIȘOARA</w:t>
                            </w:r>
                          </w:p>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DIRECȚIA DE ASISTENȚĂ SOCIALĂ A MUNICIPIULUI TIMIȘOARA</w:t>
                            </w:r>
                          </w:p>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,În slujba oamenilor</w:t>
                            </w:r>
                            <w:r w:rsidDel="00000000" w:rsidR="00000000" w:rsidRPr="00000000">
                              <w:rPr>
                                <w:rFonts w:ascii="Times New Roman" w:cs="Times New Roman" w:eastAsia="Times New Roman" w:hAnsi="Times New Roman"/>
                                <w:b w:val="0"/>
                                <w:i w:val="1"/>
                                <w:smallCaps w:val="0"/>
                                <w:strike w:val="0"/>
                                <w:color w:val="000000"/>
                                <w:sz w:val="24"/>
                                <w:vertAlign w:val="superscript"/>
                              </w:rPr>
                              <w:t xml:space="preserve">”</w:t>
                            </w:r>
                          </w:p>
                        </w:txbxContent>
                      </wps:txbx>
                      <wps:bodyPr anchorCtr="0" anchor="t" bIns="91425" lIns="91425" spcFirstLastPara="1" rIns="91425" wrap="square" tIns="91425">
                        <a:noAutofit/>
                      </wps:bodyPr>
                    </wps:wsp>
                  </wpg:wgp>
                </a:graphicData>
              </a:graphic>
            </wp:anchor>
          </w:drawing>
        </mc:Choice>
        <mc:Fallback>
          <w:drawing>
            <wp:anchor allowOverlap="1" behindDoc="1" distB="0" distT="0" distL="0" distR="0" hidden="0" layoutInCell="1" locked="0" relativeHeight="0" simplePos="0">
              <wp:simplePos x="0" y="0"/>
              <wp:positionH relativeFrom="column">
                <wp:posOffset>-145569</wp:posOffset>
              </wp:positionH>
              <wp:positionV relativeFrom="paragraph">
                <wp:posOffset>47625</wp:posOffset>
              </wp:positionV>
              <wp:extent cx="6591300" cy="1101689"/>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591300" cy="110168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nfW0jHzWv4iAtwKO4unUx7rVQ==">CgMxLjAyDmguc3E2emY5NmQyNjJ5MghoLmdqZGd4czIJaC4zMGowemxsOAByITFURG45QmIzT0JoVFVqWFJwSVBjZ0U3S1hkMC05VE04Ug==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