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8138" w14:textId="77777777" w:rsidR="00840B02" w:rsidRDefault="00840B02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19C6A820" w14:textId="77777777" w:rsidR="003F295B" w:rsidRDefault="00260E4C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14:paraId="3C6BF498" w14:textId="6783EB16" w:rsidR="00260E4C" w:rsidRPr="00B57BA0" w:rsidRDefault="003F295B" w:rsidP="00260E4C">
      <w:pPr>
        <w:spacing w:after="0" w:line="240" w:lineRule="auto"/>
        <w:ind w:hanging="720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B57B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</w:t>
      </w:r>
      <w:r w:rsidR="00B57BA0" w:rsidRPr="00B57B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10FB8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>MUNICIPIUL</w:t>
      </w:r>
      <w:r w:rsidR="00341912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TIMIŞOARA</w:t>
      </w:r>
      <w:r w:rsidR="00341912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341912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341912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341912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341912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260E4C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</w:t>
      </w:r>
      <w:r w:rsidR="00341912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  <w:t xml:space="preserve">  </w:t>
      </w:r>
      <w:r w:rsidR="00260E4C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     </w:t>
      </w:r>
      <w:r w:rsidR="00341912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</w:t>
      </w:r>
    </w:p>
    <w:p w14:paraId="14934E5A" w14:textId="77777777" w:rsidR="00341912" w:rsidRPr="00B57BA0" w:rsidRDefault="00341912" w:rsidP="00260E4C">
      <w:pPr>
        <w:spacing w:after="0" w:line="240" w:lineRule="auto"/>
        <w:ind w:hanging="720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</w:t>
      </w:r>
      <w:r w:rsidR="00260E4C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</w:t>
      </w:r>
      <w:r w:rsidR="00080AA4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</w:t>
      </w:r>
      <w:r w:rsidR="00260E4C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DIRECŢIA </w:t>
      </w:r>
      <w:r w:rsidR="00610FB8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>ECONOMICA</w:t>
      </w:r>
      <w:r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</w:t>
      </w:r>
      <w:r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  <w:t xml:space="preserve">  </w:t>
      </w:r>
      <w:r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  <w:t xml:space="preserve">                  </w:t>
      </w:r>
      <w:r w:rsidR="00275486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</w:t>
      </w:r>
      <w:r w:rsidR="002B3D92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</w:t>
      </w:r>
      <w:r w:rsidR="00275486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</w:t>
      </w:r>
      <w:r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="00610FB8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</w:t>
      </w:r>
      <w:r w:rsidR="00260E4C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</w:t>
      </w:r>
      <w:r w:rsidR="00610FB8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</w:t>
      </w:r>
      <w:r w:rsidR="00260E4C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610FB8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             </w:t>
      </w:r>
      <w:r w:rsidR="00260E4C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                </w:t>
      </w:r>
      <w:r w:rsidR="0072225E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          </w:t>
      </w:r>
      <w:r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                     </w:t>
      </w:r>
      <w:r w:rsidR="0072225E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</w:t>
      </w:r>
      <w:r w:rsidR="00610FB8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                           </w:t>
      </w:r>
    </w:p>
    <w:p w14:paraId="0223AA21" w14:textId="77777777" w:rsidR="00B57BA0" w:rsidRPr="00B57BA0" w:rsidRDefault="00341912" w:rsidP="003419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NR. </w:t>
      </w:r>
      <w:r w:rsidR="008E7D60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>SC 202</w:t>
      </w:r>
      <w:r w:rsidR="003F295B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>3</w:t>
      </w:r>
      <w:r w:rsidR="008E7D60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="003F295B" w:rsidRPr="00B57BA0">
        <w:rPr>
          <w:rFonts w:ascii="Times New Roman" w:hAnsi="Times New Roman" w:cs="Times New Roman"/>
          <w:b/>
          <w:bCs/>
          <w:sz w:val="20"/>
          <w:szCs w:val="20"/>
          <w:lang w:val="ro-RO"/>
        </w:rPr>
        <w:t>– 1565/19.01.2023</w:t>
      </w:r>
      <w:r w:rsidRPr="00B57BA0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68823DA6" w14:textId="77777777" w:rsidR="00B57BA0" w:rsidRDefault="00B57BA0" w:rsidP="00341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2319215" w14:textId="2D426DFD" w:rsidR="00341912" w:rsidRPr="00260E4C" w:rsidRDefault="00341912" w:rsidP="00341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2BE2317" w14:textId="77777777" w:rsidR="004714AE" w:rsidRPr="00ED5605" w:rsidRDefault="00341912" w:rsidP="00ED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67BE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080AA4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</w:p>
    <w:p w14:paraId="0355261D" w14:textId="77777777" w:rsidR="004714AE" w:rsidRPr="004714AE" w:rsidRDefault="004714AE" w:rsidP="004714AE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REFERAT DE APROBARE </w:t>
      </w:r>
      <w:proofErr w:type="gramStart"/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  PROIECTULUI</w:t>
      </w:r>
      <w:proofErr w:type="gramEnd"/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DE HOTĂRÂRE</w:t>
      </w:r>
    </w:p>
    <w:p w14:paraId="74A3EAA4" w14:textId="77777777" w:rsidR="004714AE" w:rsidRPr="004714AE" w:rsidRDefault="004714AE" w:rsidP="004714AE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proofErr w:type="spellStart"/>
      <w:r w:rsidRPr="004714A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privind</w:t>
      </w:r>
      <w:proofErr w:type="spellEnd"/>
      <w:r w:rsidRPr="004714A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</w:p>
    <w:p w14:paraId="4F6D9A0E" w14:textId="1BFAE6D7" w:rsidR="004714AE" w:rsidRDefault="004714AE" w:rsidP="004714A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4AE">
        <w:rPr>
          <w:rFonts w:ascii="Times New Roman" w:hAnsi="Times New Roman" w:cs="Times New Roman"/>
          <w:b/>
          <w:color w:val="000000"/>
          <w:sz w:val="24"/>
          <w:szCs w:val="24"/>
        </w:rPr>
        <w:t>aprobarea</w:t>
      </w:r>
      <w:proofErr w:type="spellEnd"/>
      <w:r w:rsidRPr="00471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4714AE">
        <w:rPr>
          <w:rFonts w:ascii="Times New Roman" w:hAnsi="Times New Roman" w:cs="Times New Roman"/>
          <w:b/>
          <w:sz w:val="24"/>
          <w:szCs w:val="24"/>
          <w:lang w:val="ro-RO"/>
        </w:rPr>
        <w:t>repartizarii</w:t>
      </w:r>
      <w:proofErr w:type="spellEnd"/>
      <w:r w:rsidR="007E5F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 </w:t>
      </w:r>
      <w:proofErr w:type="spellStart"/>
      <w:r w:rsidR="007E5F12">
        <w:rPr>
          <w:rFonts w:ascii="Times New Roman" w:hAnsi="Times New Roman" w:cs="Times New Roman"/>
          <w:b/>
          <w:sz w:val="24"/>
          <w:szCs w:val="24"/>
          <w:lang w:val="ro-RO"/>
        </w:rPr>
        <w:t>utilizarii</w:t>
      </w:r>
      <w:proofErr w:type="spellEnd"/>
      <w:r w:rsidR="009B23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excedentului</w:t>
      </w:r>
      <w:r w:rsidR="005248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629FA">
        <w:rPr>
          <w:rFonts w:ascii="Times New Roman" w:hAnsi="Times New Roman" w:cs="Times New Roman"/>
          <w:b/>
          <w:sz w:val="24"/>
          <w:szCs w:val="24"/>
          <w:lang w:val="ro-RO"/>
        </w:rPr>
        <w:t>bugetului local</w:t>
      </w:r>
      <w:r w:rsidR="00ED560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471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afl</w:t>
      </w:r>
      <w:r w:rsidR="007629FA">
        <w:rPr>
          <w:rFonts w:ascii="Times New Roman" w:hAnsi="Times New Roman" w:cs="Times New Roman"/>
          <w:b/>
          <w:sz w:val="24"/>
          <w:szCs w:val="24"/>
          <w:lang w:val="ro-RO"/>
        </w:rPr>
        <w:t>at in sold la data de 31.12.202</w:t>
      </w:r>
      <w:r w:rsidR="002048A9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</w:p>
    <w:p w14:paraId="3ABBDB09" w14:textId="77777777" w:rsidR="007629FA" w:rsidRPr="00831DE0" w:rsidRDefault="007629FA" w:rsidP="007629FA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prevederile aferente Legii nr. 273/2006 a Finantelor Publice Locale, art. 58, conform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caruia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anual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pe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două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efectuarea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regularizărilor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sumelor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defalcate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unele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prevăzute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a)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exceptate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b)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transferurilor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sau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alte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precum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achitarea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plăților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restante,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reportează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financiar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baza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hotărârilor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autorităților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deliberative,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astfel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</w:p>
    <w:p w14:paraId="53CEBAD7" w14:textId="77777777" w:rsidR="007629FA" w:rsidRPr="00B108DD" w:rsidRDefault="007629FA" w:rsidP="007629FA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ca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sursă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3CE2AA64" w14:textId="77777777" w:rsidR="007629FA" w:rsidRPr="00B108DD" w:rsidRDefault="007629FA" w:rsidP="007629FA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temporară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golurilor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provenite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decalajele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între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curent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disponibilului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aplicării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prevederilor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Pr="00B108DD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lit. a)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5EAF8176" w14:textId="77777777" w:rsidR="007629FA" w:rsidRPr="00B108DD" w:rsidRDefault="007629FA" w:rsidP="007629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definitivă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eventualelor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deficite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caz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la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sfârșitul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0E06827B" w14:textId="77777777" w:rsidR="007629FA" w:rsidRPr="0088464F" w:rsidRDefault="007629FA" w:rsidP="007629FA">
      <w:pPr>
        <w:spacing w:after="0"/>
        <w:ind w:firstLine="720"/>
        <w:jc w:val="both"/>
        <w:rPr>
          <w:rStyle w:val="salnbdy"/>
          <w:rFonts w:ascii="Times New Roman" w:hAnsi="Times New Roman"/>
          <w:color w:val="auto"/>
          <w:sz w:val="24"/>
          <w:szCs w:val="24"/>
        </w:rPr>
      </w:pPr>
      <w:r w:rsidRPr="00B108DD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(1^1)</w:t>
      </w:r>
      <w:r w:rsidRPr="00B108DD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Subvențiile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către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locale,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necesare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susținerii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implementării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externe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nerambursabile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postaderare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aceste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fost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până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</w:t>
      </w:r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lizarea</w:t>
      </w:r>
      <w:proofErr w:type="spellEnd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respective;</w:t>
      </w:r>
      <w:r w:rsidRPr="0088464F">
        <w:rPr>
          <w:rStyle w:val="salnbdy"/>
          <w:rFonts w:ascii="Times New Roman" w:hAnsi="Times New Roman"/>
          <w:color w:val="auto"/>
          <w:sz w:val="24"/>
          <w:szCs w:val="24"/>
        </w:rPr>
        <w:t xml:space="preserve">  </w:t>
      </w:r>
    </w:p>
    <w:p w14:paraId="2AC870C4" w14:textId="77777777" w:rsidR="007629FA" w:rsidRPr="00F42AC4" w:rsidRDefault="007629FA" w:rsidP="007629FA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88464F">
        <w:rPr>
          <w:rStyle w:val="salnbdy"/>
          <w:rFonts w:ascii="Times New Roman" w:hAnsi="Times New Roman"/>
          <w:color w:val="auto"/>
          <w:sz w:val="24"/>
          <w:szCs w:val="24"/>
        </w:rPr>
        <w:t xml:space="preserve"> (1^2)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Prefinanțarea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beneficiarilor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au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calitatea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ordonatori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credite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ai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69ADF00" w14:textId="77777777" w:rsidR="007629FA" w:rsidRPr="0088464F" w:rsidRDefault="007629FA" w:rsidP="007629FA">
      <w:pPr>
        <w:tabs>
          <w:tab w:val="left" w:pos="0"/>
        </w:tabs>
        <w:spacing w:after="0"/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</w:pP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ab/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conformitate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prevederile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art. 129,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1,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2 lit. b,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</w:t>
      </w: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n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4 lit. a, art. 139,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3 </w:t>
      </w:r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din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Ordonanta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Urgenta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nr. 57/2019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Codul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Administrativ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;</w:t>
      </w:r>
    </w:p>
    <w:p w14:paraId="611DD004" w14:textId="6512D73B" w:rsidR="00B57BA0" w:rsidRDefault="007629FA" w:rsidP="00B57BA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Avand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in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vedere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048A9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Ordinul</w:t>
      </w:r>
      <w:proofErr w:type="spellEnd"/>
      <w:r w:rsidR="002048A9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048A9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Ministrului</w:t>
      </w:r>
      <w:proofErr w:type="spellEnd"/>
      <w:r w:rsidR="002048A9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Finantelor </w:t>
      </w:r>
      <w:proofErr w:type="spellStart"/>
      <w:r w:rsidR="002048A9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Publice</w:t>
      </w:r>
      <w:proofErr w:type="spellEnd"/>
      <w:r w:rsidR="002048A9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 4.271 din 15 </w:t>
      </w:r>
      <w:proofErr w:type="spellStart"/>
      <w:r w:rsidR="002048A9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decembrie</w:t>
      </w:r>
      <w:proofErr w:type="spellEnd"/>
      <w:r w:rsidR="002048A9" w:rsidRPr="005431A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2022</w:t>
      </w:r>
      <w:r w:rsidR="002048A9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aprobarea</w:t>
      </w:r>
      <w:proofErr w:type="spellEnd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hyperlink w:history="1">
        <w:proofErr w:type="spellStart"/>
        <w:r w:rsidR="002048A9" w:rsidRPr="005431AF">
          <w:rPr>
            <w:rStyle w:val="salnbdy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>Normelor</w:t>
        </w:r>
        <w:proofErr w:type="spellEnd"/>
        <w:r w:rsidR="002048A9" w:rsidRPr="005431AF">
          <w:rPr>
            <w:rStyle w:val="salnbdy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2048A9" w:rsidRPr="005431AF">
          <w:rPr>
            <w:rStyle w:val="salnbdy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>metodologice</w:t>
        </w:r>
        <w:proofErr w:type="spellEnd"/>
      </w:hyperlink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exerciţiului</w:t>
      </w:r>
      <w:proofErr w:type="spellEnd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anului</w:t>
      </w:r>
      <w:proofErr w:type="spellEnd"/>
      <w:r w:rsidR="002048A9" w:rsidRPr="005431A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2022</w:t>
      </w:r>
      <w:r w:rsidR="002048A9"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2048A9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respectiv</w:t>
      </w:r>
      <w:proofErr w:type="spellEnd"/>
      <w:r w:rsidR="002048A9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Cap V,</w:t>
      </w:r>
      <w:r w:rsidR="002048A9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pct. 5.16 “</w:t>
      </w:r>
      <w:proofErr w:type="spellStart"/>
      <w:r w:rsidR="002048A9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Stabilirea</w:t>
      </w:r>
      <w:proofErr w:type="spellEnd"/>
      <w:r w:rsidR="002048A9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048A9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rezultatului</w:t>
      </w:r>
      <w:proofErr w:type="spellEnd"/>
      <w:r w:rsidR="002048A9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048A9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executiei</w:t>
      </w:r>
      <w:proofErr w:type="spellEnd"/>
      <w:r w:rsidR="002048A9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2048A9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2048A9"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local”;</w:t>
      </w:r>
      <w:r w:rsidR="002048A9" w:rsidRPr="00C159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ED7D44B" w14:textId="50712868" w:rsidR="00B57BA0" w:rsidRDefault="00B57BA0" w:rsidP="00B57BA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Avand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vedere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adresa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nr. SC 2023 – 1362/18.01.2023 a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Directiei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Generale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Investitii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Mentenanta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/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Directiei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Revitalizare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Urbana</w:t>
      </w:r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/</w:t>
      </w:r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Serviciului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Infrastructura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Culturala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se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transmit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modul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repartizare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sumei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neutilizate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finele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anului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2022, in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valoare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19.072.839,72 lei,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finantarea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la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Ministerul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Culturii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obiectivelor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investitii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implementate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monitorizate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catre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structurile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mai</w:t>
      </w:r>
      <w:proofErr w:type="spellEnd"/>
      <w:r w:rsidR="00B9599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sus</w:t>
      </w:r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in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conformitate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prevederile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nr. 286/2022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Ordonanţei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urgenţă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Guvernului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nr. 83/2022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modificarea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şi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completarea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Ordonanţei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Guvernului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nr. 51/1998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îmbunătăţirea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de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finanţare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programelor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proiectelor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şi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acţiunilor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culturale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şi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modificarea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Ordonanţei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urgenţă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Guvernului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nr. 42/2019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măsuri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financiare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susţinerea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desfăşurării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Programului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Cultural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Naţional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"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Timişoara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Capitală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Europeană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Culturii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anul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2023",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prevederile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Ordinului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Ministerului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Culturii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nr. 3560/15.12.2022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actualizarii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dosarului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candidatura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Programul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National "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Timişoara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Capitală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Europeană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Culturii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anul</w:t>
      </w:r>
      <w:proofErr w:type="spellEnd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2023</w:t>
      </w:r>
      <w:proofErr w:type="gramStart"/>
      <w:r w:rsidRPr="00B57BA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";</w:t>
      </w:r>
      <w:proofErr w:type="gramEnd"/>
    </w:p>
    <w:p w14:paraId="20DC382A" w14:textId="364DC8D1" w:rsidR="00A64D3A" w:rsidRPr="00B57BA0" w:rsidRDefault="00A64D3A" w:rsidP="00B57BA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Tinand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cont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cele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enumerate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mai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sus,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apreciez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ca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fiind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opor</w:t>
      </w:r>
      <w:r w:rsidR="00080AA4">
        <w:rPr>
          <w:rFonts w:ascii="Times New Roman" w:hAnsi="Times New Roman" w:cs="Times New Roman"/>
          <w:color w:val="000000"/>
          <w:spacing w:val="-5"/>
          <w:sz w:val="24"/>
          <w:szCs w:val="24"/>
        </w:rPr>
        <w:t>tuna</w:t>
      </w:r>
      <w:proofErr w:type="spellEnd"/>
      <w:r w:rsidR="00080AA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080AA4">
        <w:rPr>
          <w:rFonts w:ascii="Times New Roman" w:hAnsi="Times New Roman" w:cs="Times New Roman"/>
          <w:color w:val="000000"/>
          <w:spacing w:val="-5"/>
          <w:sz w:val="24"/>
          <w:szCs w:val="24"/>
        </w:rPr>
        <w:t>promovarea</w:t>
      </w:r>
      <w:proofErr w:type="spellEnd"/>
      <w:r w:rsidR="00080AA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080AA4">
        <w:rPr>
          <w:rFonts w:ascii="Times New Roman" w:hAnsi="Times New Roman" w:cs="Times New Roman"/>
          <w:color w:val="000000"/>
          <w:spacing w:val="-5"/>
          <w:sz w:val="24"/>
          <w:szCs w:val="24"/>
        </w:rPr>
        <w:t>proiectului</w:t>
      </w:r>
      <w:proofErr w:type="spellEnd"/>
      <w:r w:rsidR="00080AA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 </w:t>
      </w:r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hotarare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privind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B57BA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B5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>
        <w:rPr>
          <w:rFonts w:ascii="Times New Roman" w:hAnsi="Times New Roman" w:cs="Times New Roman"/>
          <w:sz w:val="24"/>
          <w:szCs w:val="24"/>
        </w:rPr>
        <w:t>repartizarii</w:t>
      </w:r>
      <w:proofErr w:type="spellEnd"/>
      <w:r w:rsidR="00B5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5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excedentului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local </w:t>
      </w:r>
      <w:r w:rsidR="00B57BA0" w:rsidRPr="007D45D6">
        <w:rPr>
          <w:rFonts w:ascii="Times New Roman" w:hAnsi="Times New Roman" w:cs="Times New Roman"/>
          <w:bCs/>
          <w:sz w:val="24"/>
          <w:szCs w:val="24"/>
          <w:lang w:val="ro-RO"/>
        </w:rPr>
        <w:t>aflat in sold la data de 31.12.2022</w:t>
      </w:r>
      <w:r w:rsidR="00B57BA0" w:rsidRPr="00FE2998">
        <w:rPr>
          <w:rFonts w:ascii="Times New Roman" w:hAnsi="Times New Roman" w:cs="Times New Roman"/>
          <w:sz w:val="24"/>
          <w:szCs w:val="24"/>
        </w:rPr>
        <w:t>,</w:t>
      </w:r>
      <w:r w:rsidR="00B57BA0">
        <w:rPr>
          <w:rFonts w:ascii="Times New Roman" w:hAnsi="Times New Roman" w:cs="Times New Roman"/>
          <w:sz w:val="24"/>
          <w:szCs w:val="24"/>
        </w:rPr>
        <w:t xml:space="preserve"> </w:t>
      </w:r>
      <w:r w:rsidR="00B57BA0" w:rsidRPr="00FE299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totala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r w:rsidR="00B57BA0" w:rsidRPr="00FE2998">
        <w:rPr>
          <w:rFonts w:ascii="Times New Roman" w:hAnsi="Times New Roman" w:cs="Times New Roman"/>
          <w:b/>
          <w:sz w:val="24"/>
          <w:szCs w:val="24"/>
        </w:rPr>
        <w:t>70.698.922,44 lei</w:t>
      </w:r>
      <w:r w:rsidR="00B57BA0" w:rsidRPr="00FE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temporara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golurilor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de casa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provenite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decalajele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sectiunilor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r w:rsidR="00B57BA0" w:rsidRPr="00FE2998">
        <w:rPr>
          <w:rFonts w:ascii="Times New Roman" w:hAnsi="Times New Roman" w:cs="Times New Roman"/>
          <w:b/>
          <w:sz w:val="24"/>
          <w:szCs w:val="24"/>
        </w:rPr>
        <w:t>14.533.413,72 lei</w:t>
      </w:r>
      <w:r w:rsidR="00B57BA0" w:rsidRPr="00FE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prefinantarilor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externe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nerambursabile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r w:rsidR="00B57BA0" w:rsidRPr="00FE2998">
        <w:rPr>
          <w:rFonts w:ascii="Times New Roman" w:hAnsi="Times New Roman" w:cs="Times New Roman"/>
          <w:b/>
          <w:sz w:val="24"/>
          <w:szCs w:val="24"/>
        </w:rPr>
        <w:t>37.092.669,00 lei</w:t>
      </w:r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sursa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sectiunii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57BA0" w:rsidRPr="00FE2998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B57BA0" w:rsidRPr="00FE2998">
        <w:rPr>
          <w:rFonts w:ascii="Times New Roman" w:hAnsi="Times New Roman" w:cs="Times New Roman"/>
          <w:sz w:val="24"/>
          <w:szCs w:val="24"/>
        </w:rPr>
        <w:t xml:space="preserve"> de </w:t>
      </w:r>
      <w:r w:rsidR="00B57BA0" w:rsidRPr="00FE2998">
        <w:rPr>
          <w:rFonts w:ascii="Times New Roman" w:hAnsi="Times New Roman" w:cs="Times New Roman"/>
          <w:b/>
          <w:sz w:val="24"/>
          <w:szCs w:val="24"/>
        </w:rPr>
        <w:t>19.072.839,72</w:t>
      </w:r>
      <w:r w:rsidR="00B57BA0">
        <w:rPr>
          <w:rFonts w:ascii="Times New Roman" w:hAnsi="Times New Roman" w:cs="Times New Roman"/>
          <w:sz w:val="24"/>
          <w:szCs w:val="24"/>
        </w:rPr>
        <w:t xml:space="preserve"> lei, </w:t>
      </w:r>
      <w:r w:rsidR="00080AA4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080AA4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080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si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supun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dezbaterii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Consiliului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Local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documentatia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aferenta</w:t>
      </w:r>
      <w:proofErr w:type="spellEnd"/>
      <w:r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14:paraId="3B6365A5" w14:textId="77777777" w:rsidR="002629DB" w:rsidRPr="002629DB" w:rsidRDefault="002629DB" w:rsidP="00563EB6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F423B" w14:textId="77777777" w:rsidR="002629DB" w:rsidRDefault="00C24332" w:rsidP="00C24332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PRIMAR,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DIRECTOR ECONOMIC,</w:t>
      </w:r>
    </w:p>
    <w:p w14:paraId="68DCC2B9" w14:textId="77777777" w:rsidR="00391EBF" w:rsidRPr="00080AA4" w:rsidRDefault="00C24332" w:rsidP="00080AA4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DOMINIC FRITZ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532D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STELIANA STANCIU</w:t>
      </w:r>
    </w:p>
    <w:sectPr w:rsidR="00391EBF" w:rsidRPr="00080AA4" w:rsidSect="006F46F3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022B9"/>
    <w:multiLevelType w:val="hybridMultilevel"/>
    <w:tmpl w:val="5DBEB6C0"/>
    <w:lvl w:ilvl="0" w:tplc="A09031C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58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912"/>
    <w:rsid w:val="00021475"/>
    <w:rsid w:val="00021855"/>
    <w:rsid w:val="00047505"/>
    <w:rsid w:val="00067B4F"/>
    <w:rsid w:val="00080AA4"/>
    <w:rsid w:val="000C1039"/>
    <w:rsid w:val="000D2152"/>
    <w:rsid w:val="00114B3D"/>
    <w:rsid w:val="00121987"/>
    <w:rsid w:val="00140AA3"/>
    <w:rsid w:val="00140CBC"/>
    <w:rsid w:val="001B1565"/>
    <w:rsid w:val="001D55ED"/>
    <w:rsid w:val="001E20B8"/>
    <w:rsid w:val="002048A9"/>
    <w:rsid w:val="00230820"/>
    <w:rsid w:val="00241B0B"/>
    <w:rsid w:val="00260E4C"/>
    <w:rsid w:val="002629DB"/>
    <w:rsid w:val="0026654A"/>
    <w:rsid w:val="00275486"/>
    <w:rsid w:val="002B3D92"/>
    <w:rsid w:val="002E5610"/>
    <w:rsid w:val="002F25BB"/>
    <w:rsid w:val="00341912"/>
    <w:rsid w:val="003465F0"/>
    <w:rsid w:val="0035209D"/>
    <w:rsid w:val="00361514"/>
    <w:rsid w:val="003878D7"/>
    <w:rsid w:val="00391EBF"/>
    <w:rsid w:val="003A0E55"/>
    <w:rsid w:val="003E40DA"/>
    <w:rsid w:val="003F295B"/>
    <w:rsid w:val="004058A3"/>
    <w:rsid w:val="004714AE"/>
    <w:rsid w:val="004F3F98"/>
    <w:rsid w:val="00510324"/>
    <w:rsid w:val="00521C4D"/>
    <w:rsid w:val="00522CE5"/>
    <w:rsid w:val="00524806"/>
    <w:rsid w:val="00532DB4"/>
    <w:rsid w:val="0054763F"/>
    <w:rsid w:val="00563EB6"/>
    <w:rsid w:val="0056645C"/>
    <w:rsid w:val="005667BE"/>
    <w:rsid w:val="00566BCA"/>
    <w:rsid w:val="00567DEC"/>
    <w:rsid w:val="00590F32"/>
    <w:rsid w:val="005B7DD7"/>
    <w:rsid w:val="005C0E01"/>
    <w:rsid w:val="005F6F5C"/>
    <w:rsid w:val="00600C60"/>
    <w:rsid w:val="00610FB8"/>
    <w:rsid w:val="006110F0"/>
    <w:rsid w:val="00635982"/>
    <w:rsid w:val="00636378"/>
    <w:rsid w:val="00646E59"/>
    <w:rsid w:val="00647FDC"/>
    <w:rsid w:val="0066150B"/>
    <w:rsid w:val="006C674D"/>
    <w:rsid w:val="006F45A0"/>
    <w:rsid w:val="006F46F3"/>
    <w:rsid w:val="00716881"/>
    <w:rsid w:val="00716A9F"/>
    <w:rsid w:val="0072225E"/>
    <w:rsid w:val="007629FA"/>
    <w:rsid w:val="0078257C"/>
    <w:rsid w:val="007A4D3D"/>
    <w:rsid w:val="007E5F12"/>
    <w:rsid w:val="007E797A"/>
    <w:rsid w:val="00831DE0"/>
    <w:rsid w:val="00837C17"/>
    <w:rsid w:val="00840B02"/>
    <w:rsid w:val="00843563"/>
    <w:rsid w:val="00884D25"/>
    <w:rsid w:val="008D3116"/>
    <w:rsid w:val="008E6DB3"/>
    <w:rsid w:val="008E7D60"/>
    <w:rsid w:val="00901ECF"/>
    <w:rsid w:val="00920A65"/>
    <w:rsid w:val="009730E9"/>
    <w:rsid w:val="009907E5"/>
    <w:rsid w:val="009A2ED2"/>
    <w:rsid w:val="009A4064"/>
    <w:rsid w:val="009B234B"/>
    <w:rsid w:val="00A10ACA"/>
    <w:rsid w:val="00A145C0"/>
    <w:rsid w:val="00A20705"/>
    <w:rsid w:val="00A37379"/>
    <w:rsid w:val="00A64D3A"/>
    <w:rsid w:val="00A76842"/>
    <w:rsid w:val="00AA3258"/>
    <w:rsid w:val="00AE279C"/>
    <w:rsid w:val="00AE6E38"/>
    <w:rsid w:val="00AF6593"/>
    <w:rsid w:val="00B108DD"/>
    <w:rsid w:val="00B20F97"/>
    <w:rsid w:val="00B439E5"/>
    <w:rsid w:val="00B57BA0"/>
    <w:rsid w:val="00B81CED"/>
    <w:rsid w:val="00B91566"/>
    <w:rsid w:val="00B95998"/>
    <w:rsid w:val="00BA1E72"/>
    <w:rsid w:val="00BD717F"/>
    <w:rsid w:val="00BE463A"/>
    <w:rsid w:val="00C00B32"/>
    <w:rsid w:val="00C24332"/>
    <w:rsid w:val="00C27E49"/>
    <w:rsid w:val="00C565EB"/>
    <w:rsid w:val="00C8278F"/>
    <w:rsid w:val="00CC6A13"/>
    <w:rsid w:val="00CE2098"/>
    <w:rsid w:val="00D1728F"/>
    <w:rsid w:val="00D4190A"/>
    <w:rsid w:val="00D52A85"/>
    <w:rsid w:val="00D64F8D"/>
    <w:rsid w:val="00D84485"/>
    <w:rsid w:val="00DB2A36"/>
    <w:rsid w:val="00DD5D8E"/>
    <w:rsid w:val="00DE655C"/>
    <w:rsid w:val="00DF6298"/>
    <w:rsid w:val="00E00205"/>
    <w:rsid w:val="00E027DF"/>
    <w:rsid w:val="00E042A1"/>
    <w:rsid w:val="00E1363A"/>
    <w:rsid w:val="00E214EC"/>
    <w:rsid w:val="00E34B3A"/>
    <w:rsid w:val="00E52562"/>
    <w:rsid w:val="00E52CAB"/>
    <w:rsid w:val="00E5706B"/>
    <w:rsid w:val="00E608A2"/>
    <w:rsid w:val="00E8109D"/>
    <w:rsid w:val="00E8265D"/>
    <w:rsid w:val="00E86FC3"/>
    <w:rsid w:val="00E933A1"/>
    <w:rsid w:val="00E9520C"/>
    <w:rsid w:val="00EC348C"/>
    <w:rsid w:val="00EC5303"/>
    <w:rsid w:val="00ED5605"/>
    <w:rsid w:val="00EE00C4"/>
    <w:rsid w:val="00EE605A"/>
    <w:rsid w:val="00EE745C"/>
    <w:rsid w:val="00F204A1"/>
    <w:rsid w:val="00F47B57"/>
    <w:rsid w:val="00F54C3D"/>
    <w:rsid w:val="00F6112A"/>
    <w:rsid w:val="00F878A4"/>
    <w:rsid w:val="00F952E7"/>
    <w:rsid w:val="00F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2C9E"/>
  <w15:docId w15:val="{92519C97-FC29-4253-BD57-99B2121E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55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D3D"/>
    <w:rPr>
      <w:color w:val="0000FF"/>
      <w:u w:val="single"/>
    </w:rPr>
  </w:style>
  <w:style w:type="paragraph" w:customStyle="1" w:styleId="spar">
    <w:name w:val="s_par"/>
    <w:basedOn w:val="Normal"/>
    <w:uiPriority w:val="99"/>
    <w:semiHidden/>
    <w:rsid w:val="007A4D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7A4D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lnttl1">
    <w:name w:val="s_aln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A4D3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rtttl">
    <w:name w:val="s_art_ttl"/>
    <w:basedOn w:val="DefaultParagraphFont"/>
    <w:rsid w:val="00901ECF"/>
  </w:style>
  <w:style w:type="character" w:customStyle="1" w:styleId="saln">
    <w:name w:val="s_aln"/>
    <w:basedOn w:val="DefaultParagraphFont"/>
    <w:rsid w:val="00901ECF"/>
  </w:style>
  <w:style w:type="character" w:customStyle="1" w:styleId="salnttl">
    <w:name w:val="s_aln_ttl"/>
    <w:basedOn w:val="DefaultParagraphFont"/>
    <w:rsid w:val="00901ECF"/>
  </w:style>
  <w:style w:type="character" w:customStyle="1" w:styleId="slgi">
    <w:name w:val="s_lgi"/>
    <w:basedOn w:val="DefaultParagraphFont"/>
    <w:rsid w:val="00901ECF"/>
  </w:style>
  <w:style w:type="character" w:customStyle="1" w:styleId="slit">
    <w:name w:val="s_lit"/>
    <w:basedOn w:val="DefaultParagraphFont"/>
    <w:rsid w:val="00901ECF"/>
  </w:style>
  <w:style w:type="character" w:customStyle="1" w:styleId="slitttl">
    <w:name w:val="s_lit_ttl"/>
    <w:basedOn w:val="DefaultParagraphFont"/>
    <w:rsid w:val="0090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702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valeriadolga</dc:creator>
  <cp:lastModifiedBy>Ramona RADU</cp:lastModifiedBy>
  <cp:revision>175</cp:revision>
  <cp:lastPrinted>2023-01-19T10:25:00Z</cp:lastPrinted>
  <dcterms:created xsi:type="dcterms:W3CDTF">2018-01-04T08:02:00Z</dcterms:created>
  <dcterms:modified xsi:type="dcterms:W3CDTF">2023-01-19T10:25:00Z</dcterms:modified>
</cp:coreProperties>
</file>