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721"/>
        <w:tblW w:w="10800" w:type="dxa"/>
        <w:tblLayout w:type="fixed"/>
        <w:tblLook w:val="0000"/>
      </w:tblPr>
      <w:tblGrid>
        <w:gridCol w:w="6142"/>
        <w:gridCol w:w="518"/>
        <w:gridCol w:w="3060"/>
        <w:gridCol w:w="1080"/>
      </w:tblGrid>
      <w:tr w:rsidR="0034492C" w:rsidRPr="00DC2C14" w:rsidTr="00B12A00">
        <w:trPr>
          <w:trHeight w:val="1435"/>
        </w:trPr>
        <w:tc>
          <w:tcPr>
            <w:tcW w:w="6142" w:type="dxa"/>
            <w:tcBorders>
              <w:bottom w:val="single" w:sz="4" w:space="0" w:color="auto"/>
            </w:tcBorders>
            <w:shd w:val="clear" w:color="auto" w:fill="auto"/>
          </w:tcPr>
          <w:p w:rsidR="0034492C" w:rsidRPr="00DC2C14" w:rsidRDefault="0034492C" w:rsidP="00B12A00">
            <w:pPr>
              <w:jc w:val="both"/>
              <w:rPr>
                <w:b/>
              </w:rPr>
            </w:pPr>
            <w:r w:rsidRPr="00DC2C14">
              <w:rPr>
                <w:b/>
                <w:sz w:val="22"/>
                <w:szCs w:val="22"/>
              </w:rPr>
              <w:t>ROMANIA</w:t>
            </w:r>
          </w:p>
          <w:p w:rsidR="0034492C" w:rsidRPr="00DC2C14" w:rsidRDefault="0034492C" w:rsidP="00B12A00">
            <w:pPr>
              <w:jc w:val="both"/>
              <w:rPr>
                <w:b/>
              </w:rPr>
            </w:pPr>
            <w:r w:rsidRPr="00DC2C14">
              <w:rPr>
                <w:b/>
                <w:sz w:val="22"/>
                <w:szCs w:val="22"/>
              </w:rPr>
              <w:t>JUDEŢUL TIMIŞ</w:t>
            </w:r>
          </w:p>
          <w:p w:rsidR="0034492C" w:rsidRPr="00DC2C14" w:rsidRDefault="0034492C" w:rsidP="00B12A00">
            <w:pPr>
              <w:jc w:val="both"/>
              <w:rPr>
                <w:b/>
              </w:rPr>
            </w:pPr>
            <w:r w:rsidRPr="00DC2C14">
              <w:rPr>
                <w:b/>
                <w:sz w:val="22"/>
                <w:szCs w:val="22"/>
              </w:rPr>
              <w:t>MUNICIPIUL TIMIŞOARA</w:t>
            </w:r>
          </w:p>
          <w:p w:rsidR="0034492C" w:rsidRPr="00DC2C14" w:rsidRDefault="0034492C" w:rsidP="00B12A00">
            <w:pPr>
              <w:rPr>
                <w:b/>
              </w:rPr>
            </w:pPr>
            <w:r>
              <w:rPr>
                <w:b/>
                <w:sz w:val="22"/>
                <w:szCs w:val="22"/>
              </w:rPr>
              <w:t>PRIMAR</w:t>
            </w:r>
          </w:p>
          <w:p w:rsidR="0034492C" w:rsidRPr="00DC2C14" w:rsidRDefault="003B2AEC" w:rsidP="00B12A00">
            <w:pPr>
              <w:jc w:val="both"/>
            </w:pPr>
            <w:r>
              <w:rPr>
                <w:sz w:val="22"/>
                <w:szCs w:val="22"/>
              </w:rPr>
              <w:t>NR.SC2018-22239/25.09.2018</w:t>
            </w:r>
          </w:p>
        </w:tc>
        <w:tc>
          <w:tcPr>
            <w:tcW w:w="518" w:type="dxa"/>
            <w:tcBorders>
              <w:bottom w:val="single" w:sz="4" w:space="0" w:color="auto"/>
            </w:tcBorders>
            <w:shd w:val="clear" w:color="auto" w:fill="auto"/>
          </w:tcPr>
          <w:p w:rsidR="0034492C" w:rsidRPr="00DC2C14" w:rsidRDefault="0034492C" w:rsidP="00B12A00">
            <w:pPr>
              <w:jc w:val="both"/>
              <w:rPr>
                <w:sz w:val="6"/>
                <w:szCs w:val="6"/>
              </w:rPr>
            </w:pPr>
          </w:p>
        </w:tc>
        <w:tc>
          <w:tcPr>
            <w:tcW w:w="3060" w:type="dxa"/>
            <w:tcBorders>
              <w:bottom w:val="single" w:sz="4" w:space="0" w:color="auto"/>
            </w:tcBorders>
            <w:shd w:val="clear" w:color="auto" w:fill="auto"/>
          </w:tcPr>
          <w:p w:rsidR="0034492C" w:rsidRPr="00DC2C14" w:rsidRDefault="0034492C" w:rsidP="00B12A00">
            <w:pPr>
              <w:jc w:val="center"/>
            </w:pPr>
          </w:p>
          <w:p w:rsidR="0034492C" w:rsidRPr="00DC2C14" w:rsidRDefault="0034492C" w:rsidP="00B12A00">
            <w:pPr>
              <w:jc w:val="center"/>
            </w:pPr>
          </w:p>
        </w:tc>
        <w:tc>
          <w:tcPr>
            <w:tcW w:w="1080" w:type="dxa"/>
            <w:tcBorders>
              <w:bottom w:val="single" w:sz="4" w:space="0" w:color="auto"/>
            </w:tcBorders>
            <w:shd w:val="clear" w:color="auto" w:fill="auto"/>
          </w:tcPr>
          <w:p w:rsidR="0034492C" w:rsidRPr="00DC2C14" w:rsidRDefault="0034492C" w:rsidP="00B12A00">
            <w:pPr>
              <w:jc w:val="center"/>
            </w:pPr>
            <w:r>
              <w:rPr>
                <w:noProof/>
                <w:lang w:val="en-US" w:eastAsia="en-US"/>
              </w:rPr>
              <w:drawing>
                <wp:inline distT="0" distB="0" distL="0" distR="0">
                  <wp:extent cx="621030" cy="969010"/>
                  <wp:effectExtent l="19050" t="0" r="7620"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1030" cy="969010"/>
                          </a:xfrm>
                          <a:prstGeom prst="rect">
                            <a:avLst/>
                          </a:prstGeom>
                          <a:noFill/>
                          <a:ln w="9525">
                            <a:noFill/>
                            <a:miter lim="800000"/>
                            <a:headEnd/>
                            <a:tailEnd/>
                          </a:ln>
                        </pic:spPr>
                      </pic:pic>
                    </a:graphicData>
                  </a:graphic>
                </wp:inline>
              </w:drawing>
            </w:r>
          </w:p>
        </w:tc>
      </w:tr>
      <w:tr w:rsidR="0034492C" w:rsidRPr="00DC2C14" w:rsidTr="00B12A00">
        <w:trPr>
          <w:cantSplit/>
          <w:trHeight w:val="269"/>
        </w:trPr>
        <w:tc>
          <w:tcPr>
            <w:tcW w:w="10800" w:type="dxa"/>
            <w:gridSpan w:val="4"/>
            <w:tcBorders>
              <w:top w:val="single" w:sz="4" w:space="0" w:color="auto"/>
              <w:bottom w:val="single" w:sz="4" w:space="0" w:color="auto"/>
            </w:tcBorders>
            <w:shd w:val="clear" w:color="auto" w:fill="auto"/>
          </w:tcPr>
          <w:p w:rsidR="0034492C" w:rsidRPr="00DC2C14" w:rsidRDefault="0034492C" w:rsidP="00B12A00">
            <w:pPr>
              <w:jc w:val="center"/>
              <w:rPr>
                <w:b/>
                <w:i/>
                <w:sz w:val="6"/>
                <w:szCs w:val="6"/>
              </w:rPr>
            </w:pPr>
          </w:p>
          <w:p w:rsidR="0034492C" w:rsidRPr="00DC2C14" w:rsidRDefault="0034492C" w:rsidP="00B12A00">
            <w:pPr>
              <w:ind w:left="-223" w:right="-153"/>
              <w:jc w:val="center"/>
            </w:pPr>
            <w:r w:rsidRPr="00DC2C14">
              <w:rPr>
                <w:b/>
                <w:i/>
                <w:sz w:val="16"/>
                <w:szCs w:val="16"/>
              </w:rPr>
              <w:t>Bd. C.D. Loga nr. 1, 300030   Timişoara,  tel: +40 256  408 300,  fax:+40 256 490 635 e-mail</w:t>
            </w:r>
            <w:r w:rsidRPr="00DC2C14">
              <w:rPr>
                <w:b/>
                <w:i/>
                <w:color w:val="0000FF"/>
                <w:sz w:val="16"/>
                <w:szCs w:val="16"/>
              </w:rPr>
              <w:t xml:space="preserve">: primariatm@primariatm.ro  </w:t>
            </w:r>
            <w:r w:rsidRPr="00DC2C14">
              <w:rPr>
                <w:b/>
                <w:i/>
                <w:sz w:val="16"/>
                <w:szCs w:val="16"/>
              </w:rPr>
              <w:t xml:space="preserve">internet: </w:t>
            </w:r>
            <w:r w:rsidRPr="00DC2C14">
              <w:rPr>
                <w:b/>
                <w:i/>
                <w:color w:val="0000FF"/>
                <w:sz w:val="16"/>
                <w:szCs w:val="16"/>
              </w:rPr>
              <w:t>www</w:t>
            </w:r>
            <w:r w:rsidRPr="00DC2C14">
              <w:rPr>
                <w:b/>
                <w:i/>
                <w:sz w:val="16"/>
                <w:szCs w:val="16"/>
              </w:rPr>
              <w:t>.</w:t>
            </w:r>
            <w:r w:rsidRPr="00DC2C14">
              <w:rPr>
                <w:b/>
                <w:i/>
                <w:color w:val="0000FF"/>
                <w:sz w:val="16"/>
                <w:szCs w:val="16"/>
              </w:rPr>
              <w:t>primariatm.ro</w:t>
            </w:r>
          </w:p>
        </w:tc>
      </w:tr>
    </w:tbl>
    <w:p w:rsidR="0034492C" w:rsidRPr="00DC2C14" w:rsidRDefault="0034492C" w:rsidP="0034492C">
      <w:pPr>
        <w:jc w:val="both"/>
        <w:rPr>
          <w:b/>
        </w:rPr>
      </w:pPr>
    </w:p>
    <w:p w:rsidR="0034492C" w:rsidRDefault="0034492C" w:rsidP="0034492C">
      <w:pPr>
        <w:jc w:val="both"/>
        <w:rPr>
          <w:b/>
        </w:rPr>
      </w:pPr>
    </w:p>
    <w:p w:rsidR="009707FA" w:rsidRPr="00DC2C14" w:rsidRDefault="009707FA" w:rsidP="0034492C">
      <w:pPr>
        <w:jc w:val="both"/>
        <w:rPr>
          <w:b/>
        </w:rPr>
      </w:pPr>
    </w:p>
    <w:p w:rsidR="0046267C" w:rsidRPr="004B4236" w:rsidRDefault="0034492C" w:rsidP="0046267C">
      <w:pPr>
        <w:jc w:val="center"/>
        <w:rPr>
          <w:rStyle w:val="rezumat1"/>
        </w:rPr>
      </w:pPr>
      <w:r w:rsidRPr="00332EE7">
        <w:rPr>
          <w:b/>
        </w:rPr>
        <w:t xml:space="preserve">EXPUNERE DE MOTIVE </w:t>
      </w:r>
      <w:r w:rsidRPr="00332EE7">
        <w:rPr>
          <w:b/>
          <w:color w:val="000000"/>
        </w:rPr>
        <w:t>PRIVIND OPORTUNITATEA PROIECTULUI DE HOTĂRÂRE</w:t>
      </w:r>
      <w:r w:rsidR="009707FA">
        <w:rPr>
          <w:b/>
          <w:color w:val="000000"/>
        </w:rPr>
        <w:t xml:space="preserve"> </w:t>
      </w:r>
      <w:r w:rsidR="009707FA" w:rsidRPr="009707FA">
        <w:rPr>
          <w:color w:val="000000"/>
        </w:rPr>
        <w:t xml:space="preserve">privind </w:t>
      </w:r>
      <w:proofErr w:type="spellStart"/>
      <w:r w:rsidR="009707FA" w:rsidRPr="009707FA">
        <w:rPr>
          <w:lang w:val="en-US"/>
        </w:rPr>
        <w:t>aprobarea</w:t>
      </w:r>
      <w:proofErr w:type="spellEnd"/>
      <w:r w:rsidR="009707FA" w:rsidRPr="0046267C">
        <w:rPr>
          <w:i/>
        </w:rPr>
        <w:t xml:space="preserve"> </w:t>
      </w:r>
      <w:r w:rsidR="005B2885" w:rsidRPr="005B2885">
        <w:t>p</w:t>
      </w:r>
      <w:r w:rsidR="0046267C" w:rsidRPr="005B2885">
        <w:t>r</w:t>
      </w:r>
      <w:r w:rsidR="0046267C" w:rsidRPr="0046267C">
        <w:t>oiectului</w:t>
      </w:r>
      <w:r w:rsidR="0046267C">
        <w:rPr>
          <w:i/>
        </w:rPr>
        <w:t xml:space="preserve"> </w:t>
      </w:r>
      <w:r w:rsidR="008B68D5">
        <w:rPr>
          <w:i/>
        </w:rPr>
        <w:t>„</w:t>
      </w:r>
      <w:r w:rsidR="009707FA" w:rsidRPr="009707FA">
        <w:t>Servicii de reparaţie generală cu reconstrucţie şi modernizare a vagoanelor de tramvai tip GT4”</w:t>
      </w:r>
      <w:r w:rsidR="0046267C" w:rsidRPr="0046267C">
        <w:t xml:space="preserve"> </w:t>
      </w:r>
      <w:r w:rsidR="008B68D5">
        <w:t xml:space="preserve">si a cheltuielilor </w:t>
      </w:r>
      <w:r w:rsidR="0046267C">
        <w:t>legate de proiect</w:t>
      </w:r>
    </w:p>
    <w:p w:rsidR="003D7C60" w:rsidRPr="009707FA" w:rsidRDefault="003D7C60" w:rsidP="00596C29">
      <w:pPr>
        <w:spacing w:line="206" w:lineRule="auto"/>
        <w:rPr>
          <w:color w:val="000000"/>
        </w:rPr>
      </w:pPr>
    </w:p>
    <w:p w:rsidR="003D7C60" w:rsidRPr="00332EE7" w:rsidRDefault="003D7C60" w:rsidP="0034492C">
      <w:pPr>
        <w:spacing w:line="206" w:lineRule="auto"/>
        <w:jc w:val="center"/>
        <w:rPr>
          <w:b/>
          <w:color w:val="000000"/>
        </w:rPr>
      </w:pPr>
    </w:p>
    <w:p w:rsidR="0034492C" w:rsidRPr="003D7C60" w:rsidRDefault="0034492C" w:rsidP="003D7C60">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3D7C60">
        <w:rPr>
          <w:rFonts w:ascii="Times New Roman" w:hAnsi="Times New Roman"/>
          <w:b/>
          <w:color w:val="000000"/>
          <w:spacing w:val="-5"/>
          <w:sz w:val="24"/>
          <w:szCs w:val="24"/>
          <w:lang w:val="ro-RO"/>
        </w:rPr>
        <w:t>Descrierea situatiei actuale</w:t>
      </w:r>
    </w:p>
    <w:p w:rsidR="0034492C" w:rsidRPr="00332EE7" w:rsidRDefault="0034492C" w:rsidP="0034492C">
      <w:pPr>
        <w:tabs>
          <w:tab w:val="num" w:pos="0"/>
        </w:tabs>
        <w:jc w:val="both"/>
      </w:pPr>
      <w:r w:rsidRPr="00332EE7">
        <w:tab/>
      </w:r>
    </w:p>
    <w:p w:rsidR="0034492C" w:rsidRPr="00332EE7" w:rsidRDefault="0034492C" w:rsidP="0034492C">
      <w:pPr>
        <w:tabs>
          <w:tab w:val="num" w:pos="0"/>
        </w:tabs>
        <w:jc w:val="both"/>
      </w:pPr>
      <w:r w:rsidRPr="00332EE7">
        <w:rPr>
          <w:bCs/>
        </w:rPr>
        <w:tab/>
      </w:r>
      <w:r w:rsidRPr="00332EE7">
        <w:t xml:space="preserve">Parcul de tramvaie al </w:t>
      </w:r>
      <w:r w:rsidR="002766C2">
        <w:t>Societatii Municipale de</w:t>
      </w:r>
      <w:r w:rsidR="008B68D5">
        <w:t xml:space="preserve"> </w:t>
      </w:r>
      <w:r w:rsidRPr="00332EE7">
        <w:t xml:space="preserve">Transport Timişoara este alcătuit din tramvaie second-hand, achiziţionate din Germania, a căror durata de serviciu este depăşită, iar prin reparaţiile curente efectuate se prelungeşte durata de serviciu a acestora. Totodată, </w:t>
      </w:r>
      <w:r w:rsidR="002766C2">
        <w:t>SMT</w:t>
      </w:r>
      <w:r w:rsidRPr="00332EE7">
        <w:t xml:space="preserve"> Timişoara are mari dificultăţi in asigurarea pieselor de schimb si/sau subansamblelor. </w:t>
      </w:r>
    </w:p>
    <w:p w:rsidR="0034492C" w:rsidRPr="00332EE7" w:rsidRDefault="0034492C" w:rsidP="0034492C">
      <w:pPr>
        <w:tabs>
          <w:tab w:val="num" w:pos="0"/>
        </w:tabs>
        <w:jc w:val="both"/>
        <w:rPr>
          <w:bCs/>
        </w:rPr>
      </w:pPr>
      <w:r w:rsidRPr="00332EE7">
        <w:rPr>
          <w:bCs/>
        </w:rPr>
        <w:tab/>
        <w:t>Având în vedere că tramvaiele vechi din flota operatorului local nu sunt accesibile, sunt dificil de operat şi necesită mentenanță preventivă costisitoare, motoarele diesel nu corespund normelor recente de poluare EURO, în timp ce troleibuzele și tramvaiele au echipament de tracțiune rezistiv ineficient, pentru îmbunătăţirea operării flotei şi reducerea costurilor de mentenanță este necesară înlocuirea strategică a vehiculelor, conform unor standarde înalte de accesibilitate şi deplasare.</w:t>
      </w:r>
    </w:p>
    <w:p w:rsidR="0034492C" w:rsidRPr="00332EE7" w:rsidRDefault="0034492C" w:rsidP="0034492C">
      <w:pPr>
        <w:tabs>
          <w:tab w:val="num" w:pos="0"/>
        </w:tabs>
        <w:jc w:val="both"/>
        <w:rPr>
          <w:bCs/>
        </w:rPr>
      </w:pPr>
    </w:p>
    <w:p w:rsidR="0034492C" w:rsidRPr="00CD2194" w:rsidRDefault="0034492C" w:rsidP="0034492C">
      <w:pPr>
        <w:pStyle w:val="ListParagraph"/>
        <w:numPr>
          <w:ilvl w:val="0"/>
          <w:numId w:val="1"/>
        </w:numPr>
        <w:tabs>
          <w:tab w:val="num" w:pos="0"/>
        </w:tabs>
        <w:jc w:val="both"/>
        <w:rPr>
          <w:rFonts w:ascii="Times New Roman" w:hAnsi="Times New Roman"/>
          <w:b/>
          <w:color w:val="000000"/>
          <w:spacing w:val="-5"/>
          <w:sz w:val="24"/>
          <w:szCs w:val="24"/>
        </w:rPr>
      </w:pPr>
      <w:proofErr w:type="spellStart"/>
      <w:r w:rsidRPr="00CD2194">
        <w:rPr>
          <w:rFonts w:ascii="Times New Roman" w:hAnsi="Times New Roman"/>
          <w:b/>
          <w:color w:val="000000"/>
          <w:spacing w:val="-5"/>
          <w:sz w:val="24"/>
          <w:szCs w:val="24"/>
        </w:rPr>
        <w:t>Schimbari</w:t>
      </w:r>
      <w:proofErr w:type="spellEnd"/>
      <w:r w:rsidRPr="00CD2194">
        <w:rPr>
          <w:rFonts w:ascii="Times New Roman" w:hAnsi="Times New Roman"/>
          <w:b/>
          <w:color w:val="000000"/>
          <w:spacing w:val="-5"/>
          <w:sz w:val="24"/>
          <w:szCs w:val="24"/>
        </w:rPr>
        <w:t xml:space="preserve"> </w:t>
      </w:r>
      <w:proofErr w:type="spellStart"/>
      <w:r w:rsidRPr="00CD2194">
        <w:rPr>
          <w:rFonts w:ascii="Times New Roman" w:hAnsi="Times New Roman"/>
          <w:b/>
          <w:color w:val="000000"/>
          <w:spacing w:val="-5"/>
          <w:sz w:val="24"/>
          <w:szCs w:val="24"/>
        </w:rPr>
        <w:t>preconizate</w:t>
      </w:r>
      <w:proofErr w:type="spellEnd"/>
      <w:r w:rsidRPr="00CD2194">
        <w:rPr>
          <w:rFonts w:ascii="Times New Roman" w:hAnsi="Times New Roman"/>
          <w:b/>
          <w:color w:val="000000"/>
          <w:spacing w:val="-5"/>
          <w:sz w:val="24"/>
          <w:szCs w:val="24"/>
        </w:rPr>
        <w:t xml:space="preserve"> </w:t>
      </w:r>
      <w:proofErr w:type="spellStart"/>
      <w:r w:rsidRPr="00CD2194">
        <w:rPr>
          <w:rFonts w:ascii="Times New Roman" w:hAnsi="Times New Roman"/>
          <w:b/>
          <w:color w:val="000000"/>
          <w:spacing w:val="-5"/>
          <w:sz w:val="24"/>
          <w:szCs w:val="24"/>
        </w:rPr>
        <w:t>și</w:t>
      </w:r>
      <w:proofErr w:type="spellEnd"/>
      <w:r w:rsidRPr="00CD2194">
        <w:rPr>
          <w:rFonts w:ascii="Times New Roman" w:hAnsi="Times New Roman"/>
          <w:b/>
          <w:color w:val="000000"/>
          <w:spacing w:val="-5"/>
          <w:sz w:val="24"/>
          <w:szCs w:val="24"/>
        </w:rPr>
        <w:t xml:space="preserve"> </w:t>
      </w:r>
      <w:proofErr w:type="spellStart"/>
      <w:r w:rsidRPr="00CD2194">
        <w:rPr>
          <w:rFonts w:ascii="Times New Roman" w:hAnsi="Times New Roman"/>
          <w:b/>
          <w:color w:val="000000"/>
          <w:spacing w:val="-5"/>
          <w:sz w:val="24"/>
          <w:szCs w:val="24"/>
        </w:rPr>
        <w:t>rezultate</w:t>
      </w:r>
      <w:proofErr w:type="spellEnd"/>
      <w:r w:rsidRPr="00CD2194">
        <w:rPr>
          <w:rFonts w:ascii="Times New Roman" w:hAnsi="Times New Roman"/>
          <w:b/>
          <w:color w:val="000000"/>
          <w:spacing w:val="-5"/>
          <w:sz w:val="24"/>
          <w:szCs w:val="24"/>
        </w:rPr>
        <w:t xml:space="preserve"> </w:t>
      </w:r>
      <w:proofErr w:type="spellStart"/>
      <w:r w:rsidRPr="00CD2194">
        <w:rPr>
          <w:rFonts w:ascii="Times New Roman" w:hAnsi="Times New Roman"/>
          <w:b/>
          <w:color w:val="000000"/>
          <w:spacing w:val="-5"/>
          <w:sz w:val="24"/>
          <w:szCs w:val="24"/>
        </w:rPr>
        <w:t>așteptate</w:t>
      </w:r>
      <w:proofErr w:type="spellEnd"/>
    </w:p>
    <w:p w:rsidR="0034492C" w:rsidRPr="00332EE7" w:rsidRDefault="0034492C" w:rsidP="0034492C">
      <w:pPr>
        <w:pStyle w:val="NormalC"/>
        <w:jc w:val="both"/>
        <w:rPr>
          <w:rFonts w:ascii="Times New Roman" w:hAnsi="Times New Roman"/>
          <w:color w:val="000000"/>
          <w:sz w:val="24"/>
          <w:szCs w:val="24"/>
          <w:lang w:val="ro-RO"/>
        </w:rPr>
      </w:pPr>
      <w:r w:rsidRPr="00332EE7">
        <w:rPr>
          <w:rFonts w:ascii="Times New Roman" w:hAnsi="Times New Roman"/>
          <w:bCs/>
          <w:sz w:val="24"/>
          <w:szCs w:val="24"/>
        </w:rPr>
        <w:tab/>
      </w:r>
      <w:r w:rsidRPr="00332EE7">
        <w:rPr>
          <w:rFonts w:ascii="Times New Roman" w:hAnsi="Times New Roman"/>
          <w:bCs/>
          <w:sz w:val="24"/>
          <w:szCs w:val="24"/>
          <w:lang w:val="ro-RO"/>
        </w:rPr>
        <w:t xml:space="preserve">In acest scop, a fost incheiat Contractul </w:t>
      </w:r>
      <w:r w:rsidRPr="00332EE7">
        <w:rPr>
          <w:rFonts w:ascii="Times New Roman" w:hAnsi="Times New Roman"/>
          <w:color w:val="000000"/>
          <w:sz w:val="24"/>
          <w:szCs w:val="24"/>
          <w:lang w:val="ro-RO"/>
        </w:rPr>
        <w:t>de prestare servicii nr. 58/03.12.2012 intre Municipiul Timisoara si SC Club Feroviar SRL Bucuresti, avand ca obiect servicii de consultanta pentru elaborarea unei propuneri de documentatie privind atribuirea contractului de achizitie</w:t>
      </w:r>
      <w:r>
        <w:rPr>
          <w:rFonts w:ascii="Times New Roman" w:hAnsi="Times New Roman"/>
          <w:color w:val="000000"/>
          <w:sz w:val="24"/>
          <w:szCs w:val="24"/>
          <w:lang w:val="ro-RO"/>
        </w:rPr>
        <w:t xml:space="preserve"> </w:t>
      </w:r>
      <w:r w:rsidRPr="00332EE7">
        <w:rPr>
          <w:rFonts w:ascii="Times New Roman" w:hAnsi="Times New Roman"/>
          <w:color w:val="000000"/>
          <w:sz w:val="24"/>
          <w:szCs w:val="24"/>
          <w:lang w:val="ro-RO"/>
        </w:rPr>
        <w:t>si/sau modernizare tramvaie, in conformitate cu documentatia de atribuire, cu respectarea reglementarilor legale in vigoare si obligatiile asumate prin contract.</w:t>
      </w:r>
    </w:p>
    <w:p w:rsidR="0034492C" w:rsidRPr="00332EE7" w:rsidRDefault="0034492C" w:rsidP="0034492C">
      <w:pPr>
        <w:tabs>
          <w:tab w:val="num" w:pos="0"/>
        </w:tabs>
        <w:jc w:val="both"/>
        <w:rPr>
          <w:color w:val="000000"/>
          <w:spacing w:val="3"/>
        </w:rPr>
      </w:pPr>
      <w:r w:rsidRPr="00332EE7">
        <w:rPr>
          <w:color w:val="000000"/>
        </w:rPr>
        <w:t xml:space="preserve">          </w:t>
      </w:r>
      <w:r>
        <w:rPr>
          <w:color w:val="000000"/>
        </w:rPr>
        <w:t>Din analiza studiului rezulta ca varianta optima o reprezinta perspectiva tramvaielor modernizate, dat fiind pretul mult mai mic comparativ cu achizitia de tramvaie noi.</w:t>
      </w:r>
    </w:p>
    <w:p w:rsidR="0034492C" w:rsidRPr="00332EE7" w:rsidRDefault="0034492C" w:rsidP="0034492C">
      <w:pPr>
        <w:pStyle w:val="ListParagraph"/>
        <w:numPr>
          <w:ilvl w:val="0"/>
          <w:numId w:val="1"/>
        </w:numPr>
        <w:tabs>
          <w:tab w:val="decimal" w:pos="360"/>
          <w:tab w:val="decimal" w:pos="432"/>
        </w:tabs>
        <w:ind w:left="360" w:right="3024" w:firstLine="0"/>
        <w:jc w:val="both"/>
        <w:rPr>
          <w:rFonts w:ascii="Times New Roman" w:hAnsi="Times New Roman"/>
          <w:sz w:val="24"/>
          <w:szCs w:val="24"/>
          <w:lang w:val="ro-RO"/>
        </w:rPr>
      </w:pPr>
      <w:r w:rsidRPr="00332EE7">
        <w:rPr>
          <w:rFonts w:ascii="Times New Roman" w:hAnsi="Times New Roman"/>
          <w:b/>
          <w:color w:val="000000"/>
          <w:spacing w:val="15"/>
          <w:sz w:val="24"/>
          <w:szCs w:val="24"/>
          <w:lang w:val="ro-RO"/>
        </w:rPr>
        <w:t xml:space="preserve">Alte informatii - </w:t>
      </w:r>
      <w:r w:rsidRPr="00332EE7">
        <w:rPr>
          <w:rFonts w:ascii="Times New Roman" w:hAnsi="Times New Roman"/>
          <w:sz w:val="24"/>
          <w:szCs w:val="24"/>
          <w:lang w:val="ro-RO"/>
        </w:rPr>
        <w:t>Nu este cazul.</w:t>
      </w:r>
    </w:p>
    <w:p w:rsidR="0034492C" w:rsidRPr="00332EE7" w:rsidRDefault="0034492C" w:rsidP="0034492C">
      <w:pPr>
        <w:pStyle w:val="ListParagraph"/>
        <w:numPr>
          <w:ilvl w:val="0"/>
          <w:numId w:val="1"/>
        </w:numPr>
        <w:spacing w:after="200"/>
        <w:jc w:val="both"/>
        <w:rPr>
          <w:rFonts w:ascii="Times New Roman" w:hAnsi="Times New Roman"/>
          <w:b/>
          <w:spacing w:val="-1"/>
          <w:sz w:val="24"/>
          <w:szCs w:val="24"/>
          <w:lang w:val="ro-RO"/>
        </w:rPr>
      </w:pPr>
      <w:r w:rsidRPr="00332EE7">
        <w:rPr>
          <w:rFonts w:ascii="Times New Roman" w:hAnsi="Times New Roman"/>
          <w:b/>
          <w:spacing w:val="-1"/>
          <w:sz w:val="24"/>
          <w:szCs w:val="24"/>
          <w:lang w:val="ro-RO"/>
        </w:rPr>
        <w:t>Concluzii</w:t>
      </w:r>
    </w:p>
    <w:p w:rsidR="008B68D5" w:rsidRPr="004B4236" w:rsidRDefault="0034492C" w:rsidP="008B68D5">
      <w:pPr>
        <w:jc w:val="both"/>
        <w:rPr>
          <w:rStyle w:val="rezumat1"/>
        </w:rPr>
      </w:pPr>
      <w:r>
        <w:t xml:space="preserve">           </w:t>
      </w:r>
      <w:r w:rsidRPr="00C1300D">
        <w:t>Pentru depunerea cer</w:t>
      </w:r>
      <w:r w:rsidR="005B2885">
        <w:t>er</w:t>
      </w:r>
      <w:r w:rsidRPr="00C1300D">
        <w:t>ii de finantare in vederea implementarii proiectului, in conformitate cu prevederile</w:t>
      </w:r>
      <w:r w:rsidRPr="00C1300D">
        <w:rPr>
          <w:rFonts w:eastAsiaTheme="minorHAnsi"/>
          <w:color w:val="000000"/>
        </w:rPr>
        <w:t xml:space="preserve"> Ghidul Solicitantului – </w:t>
      </w:r>
      <w:r w:rsidRPr="008B68D5">
        <w:rPr>
          <w:rFonts w:eastAsiaTheme="minorHAnsi"/>
        </w:rPr>
        <w:t>Conditii specifice de acccesare a fondurilor in cadrul Apelului de proiecte cu nr. POR/2017/4/4.</w:t>
      </w:r>
      <w:r w:rsidR="008B68D5" w:rsidRPr="008B68D5">
        <w:rPr>
          <w:rFonts w:eastAsiaTheme="minorHAnsi"/>
        </w:rPr>
        <w:t>2</w:t>
      </w:r>
      <w:r w:rsidRPr="008B68D5">
        <w:rPr>
          <w:rFonts w:eastAsiaTheme="minorHAnsi"/>
        </w:rPr>
        <w:t>/1, Axa prioritara 4,</w:t>
      </w:r>
      <w:r w:rsidRPr="00C1300D">
        <w:t xml:space="preserve"> c</w:t>
      </w:r>
      <w:r w:rsidRPr="00C1300D">
        <w:rPr>
          <w:lang w:eastAsia="ro-RO"/>
        </w:rPr>
        <w:t xml:space="preserve">onsider necesară și oportună </w:t>
      </w:r>
      <w:r w:rsidRPr="00C1300D">
        <w:rPr>
          <w:color w:val="000000"/>
          <w:spacing w:val="-2"/>
        </w:rPr>
        <w:t>aprobarea</w:t>
      </w:r>
      <w:r w:rsidRPr="00C1300D">
        <w:t xml:space="preserve"> </w:t>
      </w:r>
      <w:r w:rsidR="005B2885">
        <w:t>p</w:t>
      </w:r>
      <w:r w:rsidR="008B68D5" w:rsidRPr="0046267C">
        <w:t>roiectului</w:t>
      </w:r>
      <w:r w:rsidR="008B68D5">
        <w:rPr>
          <w:i/>
        </w:rPr>
        <w:t xml:space="preserve"> „</w:t>
      </w:r>
      <w:r w:rsidR="008B68D5" w:rsidRPr="009707FA">
        <w:t>Servicii de reparaţie generală cu reconstrucţie şi modernizare a vagoanelor de tramvai tip GT4”</w:t>
      </w:r>
      <w:r w:rsidR="008B68D5" w:rsidRPr="0046267C">
        <w:t xml:space="preserve"> </w:t>
      </w:r>
      <w:r w:rsidR="008B68D5">
        <w:t>si a cheltuielilor legate de proiect.</w:t>
      </w:r>
    </w:p>
    <w:p w:rsidR="008B68D5" w:rsidRPr="004B4236" w:rsidRDefault="008B68D5" w:rsidP="008B68D5">
      <w:pPr>
        <w:rPr>
          <w:rStyle w:val="rezumat1"/>
        </w:rPr>
      </w:pPr>
    </w:p>
    <w:p w:rsidR="0034492C" w:rsidRDefault="0034492C" w:rsidP="0034492C">
      <w:pPr>
        <w:pStyle w:val="ListParagraph"/>
        <w:tabs>
          <w:tab w:val="left" w:pos="0"/>
        </w:tabs>
        <w:spacing w:after="200"/>
        <w:ind w:left="0"/>
        <w:jc w:val="both"/>
        <w:rPr>
          <w:rFonts w:ascii="Times New Roman" w:hAnsi="Times New Roman"/>
          <w:b/>
          <w:sz w:val="24"/>
          <w:szCs w:val="24"/>
          <w:lang w:eastAsia="ro-RO"/>
        </w:rPr>
      </w:pPr>
    </w:p>
    <w:tbl>
      <w:tblPr>
        <w:tblW w:w="10610" w:type="dxa"/>
        <w:tblLook w:val="01E0"/>
      </w:tblPr>
      <w:tblGrid>
        <w:gridCol w:w="4788"/>
        <w:gridCol w:w="1080"/>
        <w:gridCol w:w="4742"/>
      </w:tblGrid>
      <w:tr w:rsidR="0034492C" w:rsidRPr="001C48EA" w:rsidTr="00B12A00">
        <w:tc>
          <w:tcPr>
            <w:tcW w:w="4788" w:type="dxa"/>
            <w:vAlign w:val="center"/>
          </w:tcPr>
          <w:p w:rsidR="0034492C" w:rsidRPr="001C48EA" w:rsidRDefault="0034492C" w:rsidP="00B12A00">
            <w:pPr>
              <w:ind w:right="-22"/>
              <w:rPr>
                <w:b/>
              </w:rPr>
            </w:pPr>
            <w:r>
              <w:rPr>
                <w:b/>
              </w:rPr>
              <w:t xml:space="preserve">                          PRIMAR</w:t>
            </w:r>
            <w:r w:rsidRPr="001C48EA">
              <w:rPr>
                <w:b/>
              </w:rPr>
              <w:t>,</w:t>
            </w:r>
          </w:p>
        </w:tc>
        <w:tc>
          <w:tcPr>
            <w:tcW w:w="1080" w:type="dxa"/>
            <w:vAlign w:val="center"/>
          </w:tcPr>
          <w:p w:rsidR="0034492C" w:rsidRPr="001C48EA" w:rsidRDefault="0034492C" w:rsidP="00B12A00">
            <w:pPr>
              <w:ind w:right="-22"/>
              <w:jc w:val="center"/>
            </w:pPr>
          </w:p>
        </w:tc>
        <w:tc>
          <w:tcPr>
            <w:tcW w:w="4742" w:type="dxa"/>
            <w:vAlign w:val="center"/>
          </w:tcPr>
          <w:p w:rsidR="0034492C" w:rsidRPr="001C48EA" w:rsidRDefault="0034492C" w:rsidP="00B12A00">
            <w:pPr>
              <w:ind w:right="-22"/>
              <w:rPr>
                <w:b/>
              </w:rPr>
            </w:pPr>
            <w:r>
              <w:rPr>
                <w:b/>
              </w:rPr>
              <w:t>DIRECTOR D. EDILITARĂ</w:t>
            </w:r>
            <w:r w:rsidRPr="001C48EA">
              <w:rPr>
                <w:b/>
              </w:rPr>
              <w:t>,</w:t>
            </w:r>
          </w:p>
        </w:tc>
      </w:tr>
      <w:tr w:rsidR="0034492C" w:rsidRPr="001C48EA" w:rsidTr="00B12A00">
        <w:tc>
          <w:tcPr>
            <w:tcW w:w="4788" w:type="dxa"/>
            <w:vAlign w:val="center"/>
          </w:tcPr>
          <w:p w:rsidR="0034492C" w:rsidRPr="001C48EA" w:rsidRDefault="0034492C" w:rsidP="00B12A00">
            <w:pPr>
              <w:ind w:right="-22"/>
              <w:rPr>
                <w:i/>
              </w:rPr>
            </w:pPr>
            <w:r>
              <w:rPr>
                <w:i/>
              </w:rPr>
              <w:t xml:space="preserve">                    NICOLAE ROBU</w:t>
            </w:r>
          </w:p>
        </w:tc>
        <w:tc>
          <w:tcPr>
            <w:tcW w:w="1080" w:type="dxa"/>
            <w:vAlign w:val="center"/>
          </w:tcPr>
          <w:p w:rsidR="0034492C" w:rsidRPr="001C48EA" w:rsidRDefault="0034492C" w:rsidP="00B12A00">
            <w:pPr>
              <w:ind w:right="-22"/>
              <w:jc w:val="center"/>
            </w:pPr>
          </w:p>
        </w:tc>
        <w:tc>
          <w:tcPr>
            <w:tcW w:w="4742" w:type="dxa"/>
            <w:vAlign w:val="center"/>
          </w:tcPr>
          <w:p w:rsidR="0034492C" w:rsidRPr="001C48EA" w:rsidRDefault="0034492C" w:rsidP="00B12A00">
            <w:pPr>
              <w:ind w:right="-22"/>
              <w:rPr>
                <w:i/>
              </w:rPr>
            </w:pPr>
            <w:r>
              <w:rPr>
                <w:i/>
              </w:rPr>
              <w:t xml:space="preserve">              CULIŢĂ CHIŞ</w:t>
            </w:r>
          </w:p>
        </w:tc>
      </w:tr>
    </w:tbl>
    <w:p w:rsidR="0034492C" w:rsidRDefault="0034492C" w:rsidP="0034492C">
      <w:pPr>
        <w:pStyle w:val="ListParagraph"/>
        <w:tabs>
          <w:tab w:val="left" w:pos="0"/>
        </w:tabs>
        <w:spacing w:after="200"/>
        <w:ind w:left="0" w:firstLine="450"/>
        <w:jc w:val="both"/>
        <w:rPr>
          <w:rFonts w:ascii="Times New Roman" w:hAnsi="Times New Roman"/>
          <w:b/>
          <w:spacing w:val="-1"/>
          <w:sz w:val="24"/>
          <w:szCs w:val="24"/>
        </w:rPr>
      </w:pPr>
    </w:p>
    <w:sectPr w:rsidR="0034492C" w:rsidSect="00596C29">
      <w:footerReference w:type="default" r:id="rId8"/>
      <w:pgSz w:w="12240" w:h="15840"/>
      <w:pgMar w:top="245" w:right="907" w:bottom="893" w:left="1526"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302" w:rsidRDefault="00845302" w:rsidP="00022B0C">
      <w:r>
        <w:separator/>
      </w:r>
    </w:p>
  </w:endnote>
  <w:endnote w:type="continuationSeparator" w:id="0">
    <w:p w:rsidR="00845302" w:rsidRDefault="00845302" w:rsidP="0002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D9" w:rsidRPr="003D25D9" w:rsidRDefault="003D7C60" w:rsidP="003D25D9">
    <w:pPr>
      <w:autoSpaceDE w:val="0"/>
      <w:autoSpaceDN w:val="0"/>
      <w:adjustRightInd w:val="0"/>
      <w:ind w:left="4320" w:right="-647" w:firstLine="720"/>
      <w:jc w:val="center"/>
      <w:rPr>
        <w:sz w:val="20"/>
        <w:szCs w:val="20"/>
        <w:lang w:val="it-IT"/>
      </w:rPr>
    </w:pPr>
    <w:r>
      <w:rPr>
        <w:sz w:val="20"/>
        <w:szCs w:val="20"/>
      </w:rPr>
      <w:t xml:space="preserve">                      Cod FO53-03</w:t>
    </w:r>
    <w:r w:rsidRPr="003D25D9">
      <w:rPr>
        <w:sz w:val="20"/>
        <w:szCs w:val="20"/>
      </w:rPr>
      <w:t>, Ver.</w:t>
    </w:r>
    <w:r w:rsidRPr="003D25D9">
      <w:rPr>
        <w:rFonts w:ascii="Trebuchet MS" w:hAnsi="Trebuchet MS"/>
        <w:sz w:val="20"/>
        <w:szCs w:val="20"/>
      </w:rPr>
      <w:t>1</w:t>
    </w:r>
  </w:p>
  <w:p w:rsidR="003D25D9" w:rsidRDefault="00845302">
    <w:pPr>
      <w:pStyle w:val="Footer"/>
    </w:pPr>
  </w:p>
  <w:p w:rsidR="003D25D9" w:rsidRDefault="008453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302" w:rsidRDefault="00845302" w:rsidP="00022B0C">
      <w:r>
        <w:separator/>
      </w:r>
    </w:p>
  </w:footnote>
  <w:footnote w:type="continuationSeparator" w:id="0">
    <w:p w:rsidR="00845302" w:rsidRDefault="00845302" w:rsidP="0002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4492C"/>
    <w:rsid w:val="00022B0C"/>
    <w:rsid w:val="00102307"/>
    <w:rsid w:val="002766C2"/>
    <w:rsid w:val="002C389F"/>
    <w:rsid w:val="0034492C"/>
    <w:rsid w:val="00356BC6"/>
    <w:rsid w:val="003B2AEC"/>
    <w:rsid w:val="003D7C60"/>
    <w:rsid w:val="003F0E0B"/>
    <w:rsid w:val="00413364"/>
    <w:rsid w:val="00432E71"/>
    <w:rsid w:val="0046267C"/>
    <w:rsid w:val="00596C29"/>
    <w:rsid w:val="005B2885"/>
    <w:rsid w:val="00845302"/>
    <w:rsid w:val="008B68D5"/>
    <w:rsid w:val="009707FA"/>
    <w:rsid w:val="00CE0045"/>
    <w:rsid w:val="00D00667"/>
    <w:rsid w:val="00D3033E"/>
    <w:rsid w:val="00E75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17</cp:revision>
  <cp:lastPrinted>2018-09-25T09:18:00Z</cp:lastPrinted>
  <dcterms:created xsi:type="dcterms:W3CDTF">2018-09-25T08:03:00Z</dcterms:created>
  <dcterms:modified xsi:type="dcterms:W3CDTF">2018-09-25T10:41:00Z</dcterms:modified>
</cp:coreProperties>
</file>