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35349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2666A4">
        <w:rPr>
          <w:rFonts w:ascii="Times New Roman" w:hAnsi="Times New Roman" w:cs="Times New Roman"/>
          <w:b/>
          <w:sz w:val="24"/>
          <w:szCs w:val="24"/>
        </w:rPr>
        <w:t>9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</w:t>
      </w:r>
      <w:r w:rsidR="0040619B">
        <w:rPr>
          <w:rFonts w:ascii="Times New Roman" w:hAnsi="Times New Roman" w:cs="Times New Roman"/>
          <w:b/>
          <w:sz w:val="24"/>
          <w:szCs w:val="24"/>
        </w:rPr>
        <w:t>0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A6F61">
        <w:rPr>
          <w:rFonts w:ascii="Times New Roman" w:hAnsi="Times New Roman" w:cs="Times New Roman"/>
          <w:b/>
          <w:sz w:val="24"/>
          <w:szCs w:val="24"/>
        </w:rPr>
        <w:t>6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1.719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11.809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9.071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666A4">
        <w:rPr>
          <w:rFonts w:ascii="Times New Roman" w:hAnsi="Times New Roman" w:cs="Times New Roman"/>
          <w:b/>
          <w:sz w:val="24"/>
          <w:szCs w:val="24"/>
        </w:rPr>
        <w:t>3.250.448,98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6A4">
        <w:rPr>
          <w:rFonts w:ascii="Times New Roman" w:hAnsi="Times New Roman" w:cs="Times New Roman"/>
          <w:b/>
          <w:sz w:val="24"/>
          <w:szCs w:val="24"/>
        </w:rPr>
        <w:t>2.872.771,93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6F61" w:rsidRDefault="006A6F61" w:rsidP="006A6F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6A6F61" w:rsidRDefault="006A6F61" w:rsidP="006A6F61">
      <w:pPr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C04652">
        <w:rPr>
          <w:rFonts w:ascii="Times New Roman" w:hAnsi="Times New Roman"/>
        </w:rPr>
        <w:t>122,26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1769A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</w:t>
      </w:r>
      <w:r w:rsidR="00C1769A">
        <w:rPr>
          <w:rFonts w:ascii="Times New Roman" w:hAnsi="Times New Roman"/>
          <w:sz w:val="22"/>
          <w:szCs w:val="22"/>
        </w:rPr>
        <w:t>697.819,59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C04652">
        <w:rPr>
          <w:rFonts w:ascii="Times New Roman" w:hAnsi="Times New Roman"/>
        </w:rPr>
        <w:t>230,37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04652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C04652">
        <w:rPr>
          <w:rFonts w:ascii="Times New Roman" w:hAnsi="Times New Roman"/>
          <w:sz w:val="22"/>
          <w:szCs w:val="22"/>
        </w:rPr>
        <w:t>1.366.633,32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="00E9368F">
        <w:rPr>
          <w:rFonts w:ascii="Times New Roman" w:hAnsi="Times New Roman"/>
          <w:color w:val="FF0000"/>
          <w:sz w:val="22"/>
          <w:szCs w:val="22"/>
        </w:rPr>
        <w:t xml:space="preserve">     </w:t>
      </w:r>
      <w:r w:rsidR="00C04652">
        <w:rPr>
          <w:rFonts w:ascii="Times New Roman" w:hAnsi="Times New Roman"/>
          <w:sz w:val="22"/>
          <w:szCs w:val="22"/>
        </w:rPr>
        <w:t>88,10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E9368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</w:t>
      </w:r>
      <w:r w:rsidR="00C04652">
        <w:rPr>
          <w:rFonts w:ascii="Times New Roman" w:hAnsi="Times New Roman"/>
          <w:sz w:val="22"/>
          <w:szCs w:val="22"/>
        </w:rPr>
        <w:t>137,30</w:t>
      </w:r>
      <w:r>
        <w:rPr>
          <w:rFonts w:ascii="Times New Roman" w:hAnsi="Times New Roman"/>
          <w:sz w:val="22"/>
          <w:szCs w:val="22"/>
        </w:rPr>
        <w:t xml:space="preserve"> kwh/m</w:t>
      </w:r>
      <w:r w:rsidR="00C04652">
        <w:rPr>
          <w:rFonts w:ascii="Times New Roman" w:hAnsi="Times New Roman"/>
          <w:sz w:val="22"/>
          <w:szCs w:val="22"/>
        </w:rPr>
        <w:t>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PROIECT DESIGN SRL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03D08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666A4"/>
    <w:rsid w:val="002753D0"/>
    <w:rsid w:val="002A0C9E"/>
    <w:rsid w:val="002A3970"/>
    <w:rsid w:val="002B254E"/>
    <w:rsid w:val="002B26AF"/>
    <w:rsid w:val="002B71D0"/>
    <w:rsid w:val="002E3FE0"/>
    <w:rsid w:val="003347EC"/>
    <w:rsid w:val="00353495"/>
    <w:rsid w:val="003551CA"/>
    <w:rsid w:val="0037232B"/>
    <w:rsid w:val="003C0F64"/>
    <w:rsid w:val="003D26F7"/>
    <w:rsid w:val="003E6153"/>
    <w:rsid w:val="0040619B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A6F61"/>
    <w:rsid w:val="006B112C"/>
    <w:rsid w:val="006B65F8"/>
    <w:rsid w:val="006E3133"/>
    <w:rsid w:val="007919CF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330F9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04652"/>
    <w:rsid w:val="00C1769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16C5B"/>
    <w:rsid w:val="00D22442"/>
    <w:rsid w:val="00D26C8C"/>
    <w:rsid w:val="00D27F19"/>
    <w:rsid w:val="00D37E7E"/>
    <w:rsid w:val="00D64E08"/>
    <w:rsid w:val="00D75116"/>
    <w:rsid w:val="00D90BBA"/>
    <w:rsid w:val="00DA6576"/>
    <w:rsid w:val="00DE350A"/>
    <w:rsid w:val="00E227A1"/>
    <w:rsid w:val="00E81911"/>
    <w:rsid w:val="00E9368F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A6F6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2017-09-04T08:21:00Z</cp:lastPrinted>
  <dcterms:created xsi:type="dcterms:W3CDTF">2018-02-23T11:35:00Z</dcterms:created>
  <dcterms:modified xsi:type="dcterms:W3CDTF">2019-03-25T13:08:00Z</dcterms:modified>
</cp:coreProperties>
</file>