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 w:rsidRPr="005501A6">
        <w:rPr>
          <w:rFonts w:ascii="Times New Roman" w:eastAsia="Times New Roman" w:hAnsi="Times New Roman" w:cs="Times New Roman"/>
          <w:sz w:val="24"/>
          <w:szCs w:val="24"/>
        </w:rPr>
        <w:t>MUNICIPIUL TIMIȘOARA</w:t>
      </w: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1A6" w:rsidRPr="005501A6" w:rsidRDefault="005501A6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1A6">
        <w:rPr>
          <w:rFonts w:ascii="Times New Roman" w:eastAsia="Times New Roman" w:hAnsi="Times New Roman" w:cs="Times New Roman"/>
          <w:sz w:val="24"/>
          <w:szCs w:val="24"/>
        </w:rPr>
        <w:t>CASA DE CULTURA A MUNICIPIULUI TIMIȘOARA</w:t>
      </w:r>
    </w:p>
    <w:p w:rsidR="00DC6962" w:rsidRPr="005501A6" w:rsidRDefault="00DC6962" w:rsidP="005501A6">
      <w:pPr>
        <w:tabs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1A6">
        <w:rPr>
          <w:rFonts w:ascii="Times New Roman" w:eastAsia="Times New Roman" w:hAnsi="Times New Roman" w:cs="Times New Roman"/>
          <w:sz w:val="24"/>
          <w:szCs w:val="24"/>
        </w:rPr>
        <w:t>Nr. SC20</w:t>
      </w:r>
      <w:r w:rsidR="005501A6" w:rsidRPr="005501A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501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01A6">
        <w:rPr>
          <w:rFonts w:ascii="Times New Roman" w:eastAsia="Times New Roman" w:hAnsi="Times New Roman" w:cs="Times New Roman"/>
          <w:sz w:val="24"/>
          <w:szCs w:val="24"/>
        </w:rPr>
        <w:tab/>
        <w:t>/</w:t>
      </w:r>
    </w:p>
    <w:p w:rsidR="005501A6" w:rsidRPr="005501A6" w:rsidRDefault="005501A6" w:rsidP="005501A6">
      <w:pPr>
        <w:tabs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B52" w:rsidRPr="00760381" w:rsidRDefault="008F2B52" w:rsidP="008F2B52">
      <w:pPr>
        <w:jc w:val="center"/>
        <w:rPr>
          <w:b/>
          <w:sz w:val="28"/>
          <w:szCs w:val="28"/>
          <w:lang w:val="ro-RO"/>
        </w:rPr>
      </w:pPr>
      <w:r w:rsidRPr="00760381">
        <w:rPr>
          <w:b/>
          <w:sz w:val="28"/>
          <w:szCs w:val="28"/>
          <w:lang w:val="ro-RO"/>
        </w:rPr>
        <w:t>RAPORT DE SPECIALITATE</w:t>
      </w:r>
    </w:p>
    <w:p w:rsidR="008F2B52" w:rsidRDefault="008F2B52" w:rsidP="005501A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8F2B52" w:rsidRDefault="00F03359" w:rsidP="005501A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0335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/ de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candidatură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2021 –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Capitală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F0335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03359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</w:p>
    <w:p w:rsidR="008F2B52" w:rsidRPr="008F2B52" w:rsidRDefault="008F2B52" w:rsidP="005501A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B52" w:rsidRDefault="008F2B52" w:rsidP="00F03359">
      <w:pPr>
        <w:spacing w:line="276" w:lineRule="auto"/>
        <w:ind w:left="420" w:right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nr SC2020 – _______ din ______2020, al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finanţărilor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nonprofit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/ de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angajamente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2021 –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="00F03359" w:rsidRPr="00F033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3359" w:rsidRPr="00F03359">
        <w:rPr>
          <w:rFonts w:ascii="Times New Roman" w:hAnsi="Times New Roman" w:cs="Times New Roman"/>
          <w:sz w:val="24"/>
          <w:szCs w:val="24"/>
        </w:rPr>
        <w:t>Culturii</w:t>
      </w:r>
      <w:proofErr w:type="spellEnd"/>
    </w:p>
    <w:p w:rsidR="00F03359" w:rsidRPr="008F2B52" w:rsidRDefault="00F03359" w:rsidP="00F03359">
      <w:pPr>
        <w:spacing w:line="276" w:lineRule="auto"/>
        <w:ind w:left="420"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DC6962" w:rsidP="005501A6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Facem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precizări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F2B52" w:rsidRDefault="008F2B52" w:rsidP="005501A6">
      <w:pPr>
        <w:spacing w:line="276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2B52" w:rsidRPr="008F2B52" w:rsidRDefault="008F2B52" w:rsidP="008F2B52">
      <w:pPr>
        <w:spacing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8F2B5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350 din 2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nonprofit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general,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nerambursabilă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atac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deciziei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autorităţilor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finanţatoare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962" w:rsidRPr="008F2B52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8F2B52" w:rsidRDefault="005501A6" w:rsidP="005501A6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HCLMT nr.</w:t>
      </w:r>
      <w:proofErr w:type="gram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40/29.07.2016 s-a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modificat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Regulamentul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regimul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finanţărilor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nerambursabile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alocate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activităţi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nonprofit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culturale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tineret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interes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aprobat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Hotararea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Consiliului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41/02.02.2016,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350/2005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nonprofit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general.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prevedea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domenii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finanțările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Start"/>
      <w:r w:rsidRPr="008F2B52">
        <w:rPr>
          <w:rFonts w:ascii="Times New Roman" w:eastAsia="Times New Roman" w:hAnsi="Times New Roman" w:cs="Times New Roman"/>
          <w:sz w:val="24"/>
          <w:szCs w:val="24"/>
        </w:rPr>
        <w:t>,respective</w:t>
      </w:r>
      <w:proofErr w:type="spellEnd"/>
      <w:proofErr w:type="gram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eligibilitate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concordanță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culturală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2014-2024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HCL nr. </w:t>
      </w:r>
      <w:proofErr w:type="gramStart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535/31.10.2014 cu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Timişoara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2014-2020,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HCL nr.</w:t>
      </w:r>
      <w:proofErr w:type="gram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574/27.11.2014.</w:t>
      </w:r>
    </w:p>
    <w:p w:rsidR="005501A6" w:rsidRPr="008F2B52" w:rsidRDefault="005501A6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8F2B52" w:rsidRDefault="005501A6" w:rsidP="005501A6">
      <w:pPr>
        <w:spacing w:line="276" w:lineRule="auto"/>
        <w:ind w:firstLine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2B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anunțat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HCLMT nr. 82/29.03.2011 s-</w:t>
      </w:r>
      <w:proofErr w:type="gramStart"/>
      <w:r w:rsidRPr="008F2B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candidaturii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Timişoarei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HCLMT nr. </w:t>
      </w:r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395/22.09.2015 a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fost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aprobată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candidatura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Municipiului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angajamentul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susţinere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financiară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2017-2022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participarea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Municipiului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acţiunea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Uniunii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”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Capitală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Europeană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Culturii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Municipiul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declarat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oraş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câştigător</w:t>
      </w:r>
      <w:proofErr w:type="spellEnd"/>
      <w:r w:rsidRPr="008F2B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501A6" w:rsidRPr="008F2B52" w:rsidRDefault="005501A6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1A6" w:rsidRDefault="005501A6" w:rsidP="005501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B52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întâmpinarea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cultural independent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consolida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legăturile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contura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 w:rsidRPr="008F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: un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2021 –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câștigat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2021.  </w:t>
      </w:r>
    </w:p>
    <w:p w:rsidR="00F03359" w:rsidRPr="008F2B52" w:rsidRDefault="00F03359" w:rsidP="005501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962" w:rsidRPr="008F2B52" w:rsidRDefault="005501A6" w:rsidP="005501A6">
      <w:pPr>
        <w:spacing w:line="276" w:lineRule="auto"/>
        <w:ind w:right="42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2B5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ariile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eligibilitatea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selecționării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rămânând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8F2B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6962" w:rsidRPr="008F2B52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DC6962" w:rsidP="00C01F4A">
      <w:pPr>
        <w:spacing w:line="276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expuse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2B52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8F2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apreciem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/ de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candidatură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2021 –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Capitală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03359" w:rsidRPr="00F03359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dezbaterii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plenului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C01F4A" w:rsidRPr="00C01F4A">
        <w:rPr>
          <w:rFonts w:ascii="Times New Roman" w:eastAsia="Times New Roman" w:hAnsi="Times New Roman" w:cs="Times New Roman"/>
          <w:sz w:val="24"/>
          <w:szCs w:val="24"/>
        </w:rPr>
        <w:t xml:space="preserve"> local.</w:t>
      </w:r>
    </w:p>
    <w:p w:rsidR="00C01F4A" w:rsidRPr="008F2B52" w:rsidRDefault="00C01F4A" w:rsidP="00C01F4A">
      <w:pPr>
        <w:spacing w:line="276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8F2B52" w:rsidRDefault="00DC6962" w:rsidP="005501A6">
      <w:pPr>
        <w:tabs>
          <w:tab w:val="left" w:pos="720"/>
        </w:tabs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C6962" w:rsidRPr="008F2B52">
          <w:pgSz w:w="12240" w:h="15840"/>
          <w:pgMar w:top="1106" w:right="1440" w:bottom="459" w:left="1440" w:header="0" w:footer="0" w:gutter="0"/>
          <w:cols w:space="0" w:equalWidth="0">
            <w:col w:w="9360"/>
          </w:cols>
          <w:docGrid w:linePitch="360"/>
        </w:sectPr>
      </w:pPr>
    </w:p>
    <w:p w:rsidR="00DC6962" w:rsidRPr="008F2B52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5501A6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C6962" w:rsidRPr="005501A6">
        <w:rPr>
          <w:rFonts w:ascii="Times New Roman" w:eastAsia="Times New Roman" w:hAnsi="Times New Roman" w:cs="Times New Roman"/>
          <w:sz w:val="24"/>
          <w:szCs w:val="24"/>
        </w:rPr>
        <w:t>Viceprimar</w:t>
      </w:r>
      <w:proofErr w:type="spellEnd"/>
      <w:r w:rsidR="00DC6962" w:rsidRPr="005501A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5501A6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Dehelean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962" w:rsidRPr="005501A6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DC6962" w:rsidRPr="005501A6">
        <w:rPr>
          <w:rFonts w:ascii="Times New Roman" w:eastAsia="Times New Roman" w:hAnsi="Times New Roman" w:cs="Times New Roman"/>
          <w:sz w:val="24"/>
          <w:szCs w:val="24"/>
        </w:rPr>
        <w:t>Diaconu</w:t>
      </w:r>
      <w:proofErr w:type="spellEnd"/>
    </w:p>
    <w:p w:rsidR="00787448" w:rsidRDefault="00787448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448" w:rsidRDefault="00787448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448" w:rsidRDefault="00787448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448" w:rsidRDefault="00787448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448" w:rsidRPr="005501A6" w:rsidRDefault="00787448" w:rsidP="005501A6">
      <w:pPr>
        <w:spacing w:line="276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Intocmit</w:t>
      </w: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DC6962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F4A" w:rsidRPr="005501A6" w:rsidRDefault="00C01F4A" w:rsidP="005501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5501A6" w:rsidRDefault="00DC6962" w:rsidP="005501A6">
      <w:pPr>
        <w:spacing w:line="276" w:lineRule="auto"/>
        <w:ind w:left="7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1A6">
        <w:rPr>
          <w:rFonts w:ascii="Times New Roman" w:eastAsia="Times New Roman" w:hAnsi="Times New Roman" w:cs="Times New Roman"/>
          <w:sz w:val="24"/>
          <w:szCs w:val="24"/>
        </w:rPr>
        <w:t>Cod FO53-01, Ver.1</w:t>
      </w:r>
    </w:p>
    <w:sectPr w:rsidR="00DC6962" w:rsidRPr="005501A6" w:rsidSect="00F067CD">
      <w:type w:val="continuous"/>
      <w:pgSz w:w="12240" w:h="15840"/>
      <w:pgMar w:top="1106" w:right="1440" w:bottom="459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DF0087E6">
      <w:start w:val="1"/>
      <w:numFmt w:val="bullet"/>
      <w:lvlText w:val="-"/>
      <w:lvlJc w:val="left"/>
    </w:lvl>
    <w:lvl w:ilvl="1" w:tplc="E89433C6">
      <w:start w:val="1"/>
      <w:numFmt w:val="bullet"/>
      <w:lvlText w:val=""/>
      <w:lvlJc w:val="left"/>
    </w:lvl>
    <w:lvl w:ilvl="2" w:tplc="A66CFBAA">
      <w:start w:val="1"/>
      <w:numFmt w:val="bullet"/>
      <w:lvlText w:val=""/>
      <w:lvlJc w:val="left"/>
    </w:lvl>
    <w:lvl w:ilvl="3" w:tplc="345C3410">
      <w:start w:val="1"/>
      <w:numFmt w:val="bullet"/>
      <w:lvlText w:val=""/>
      <w:lvlJc w:val="left"/>
    </w:lvl>
    <w:lvl w:ilvl="4" w:tplc="93C0B99A">
      <w:start w:val="1"/>
      <w:numFmt w:val="bullet"/>
      <w:lvlText w:val=""/>
      <w:lvlJc w:val="left"/>
    </w:lvl>
    <w:lvl w:ilvl="5" w:tplc="DDBAADC2">
      <w:start w:val="1"/>
      <w:numFmt w:val="bullet"/>
      <w:lvlText w:val=""/>
      <w:lvlJc w:val="left"/>
    </w:lvl>
    <w:lvl w:ilvl="6" w:tplc="779C2C14">
      <w:start w:val="1"/>
      <w:numFmt w:val="bullet"/>
      <w:lvlText w:val=""/>
      <w:lvlJc w:val="left"/>
    </w:lvl>
    <w:lvl w:ilvl="7" w:tplc="8B3267FC">
      <w:start w:val="1"/>
      <w:numFmt w:val="bullet"/>
      <w:lvlText w:val=""/>
      <w:lvlJc w:val="left"/>
    </w:lvl>
    <w:lvl w:ilvl="8" w:tplc="AC32ABE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71B6BDAC">
      <w:start w:val="3"/>
      <w:numFmt w:val="decimal"/>
      <w:lvlText w:val="%1."/>
      <w:lvlJc w:val="left"/>
    </w:lvl>
    <w:lvl w:ilvl="1" w:tplc="1BFA84E6">
      <w:start w:val="5"/>
      <w:numFmt w:val="decimal"/>
      <w:lvlText w:val="%2."/>
      <w:lvlJc w:val="left"/>
    </w:lvl>
    <w:lvl w:ilvl="2" w:tplc="DF3EE806">
      <w:start w:val="1"/>
      <w:numFmt w:val="bullet"/>
      <w:lvlText w:val=""/>
      <w:lvlJc w:val="left"/>
    </w:lvl>
    <w:lvl w:ilvl="3" w:tplc="C0F85AAC">
      <w:start w:val="1"/>
      <w:numFmt w:val="bullet"/>
      <w:lvlText w:val=""/>
      <w:lvlJc w:val="left"/>
    </w:lvl>
    <w:lvl w:ilvl="4" w:tplc="DBC83274">
      <w:start w:val="1"/>
      <w:numFmt w:val="bullet"/>
      <w:lvlText w:val=""/>
      <w:lvlJc w:val="left"/>
    </w:lvl>
    <w:lvl w:ilvl="5" w:tplc="FA38FF1A">
      <w:start w:val="1"/>
      <w:numFmt w:val="bullet"/>
      <w:lvlText w:val=""/>
      <w:lvlJc w:val="left"/>
    </w:lvl>
    <w:lvl w:ilvl="6" w:tplc="4930381A">
      <w:start w:val="1"/>
      <w:numFmt w:val="bullet"/>
      <w:lvlText w:val=""/>
      <w:lvlJc w:val="left"/>
    </w:lvl>
    <w:lvl w:ilvl="7" w:tplc="92449E74">
      <w:start w:val="1"/>
      <w:numFmt w:val="bullet"/>
      <w:lvlText w:val=""/>
      <w:lvlJc w:val="left"/>
    </w:lvl>
    <w:lvl w:ilvl="8" w:tplc="526C7A6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364460BA">
      <w:start w:val="7"/>
      <w:numFmt w:val="decimal"/>
      <w:lvlText w:val="%1."/>
      <w:lvlJc w:val="left"/>
    </w:lvl>
    <w:lvl w:ilvl="1" w:tplc="34587B54">
      <w:start w:val="1"/>
      <w:numFmt w:val="bullet"/>
      <w:lvlText w:val=""/>
      <w:lvlJc w:val="left"/>
    </w:lvl>
    <w:lvl w:ilvl="2" w:tplc="B0F41798">
      <w:start w:val="1"/>
      <w:numFmt w:val="bullet"/>
      <w:lvlText w:val=""/>
      <w:lvlJc w:val="left"/>
    </w:lvl>
    <w:lvl w:ilvl="3" w:tplc="A05C5F12">
      <w:start w:val="1"/>
      <w:numFmt w:val="bullet"/>
      <w:lvlText w:val=""/>
      <w:lvlJc w:val="left"/>
    </w:lvl>
    <w:lvl w:ilvl="4" w:tplc="8ABE3DDA">
      <w:start w:val="1"/>
      <w:numFmt w:val="bullet"/>
      <w:lvlText w:val=""/>
      <w:lvlJc w:val="left"/>
    </w:lvl>
    <w:lvl w:ilvl="5" w:tplc="258014D2">
      <w:start w:val="1"/>
      <w:numFmt w:val="bullet"/>
      <w:lvlText w:val=""/>
      <w:lvlJc w:val="left"/>
    </w:lvl>
    <w:lvl w:ilvl="6" w:tplc="11148276">
      <w:start w:val="1"/>
      <w:numFmt w:val="bullet"/>
      <w:lvlText w:val=""/>
      <w:lvlJc w:val="left"/>
    </w:lvl>
    <w:lvl w:ilvl="7" w:tplc="6FFE04E2">
      <w:start w:val="1"/>
      <w:numFmt w:val="bullet"/>
      <w:lvlText w:val=""/>
      <w:lvlJc w:val="left"/>
    </w:lvl>
    <w:lvl w:ilvl="8" w:tplc="B03EC07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A26EE7B4">
      <w:start w:val="1"/>
      <w:numFmt w:val="bullet"/>
      <w:lvlText w:val="-"/>
      <w:lvlJc w:val="left"/>
    </w:lvl>
    <w:lvl w:ilvl="1" w:tplc="64DA8CC0">
      <w:start w:val="1"/>
      <w:numFmt w:val="bullet"/>
      <w:lvlText w:val=""/>
      <w:lvlJc w:val="left"/>
    </w:lvl>
    <w:lvl w:ilvl="2" w:tplc="1AC6A5CA">
      <w:start w:val="1"/>
      <w:numFmt w:val="bullet"/>
      <w:lvlText w:val=""/>
      <w:lvlJc w:val="left"/>
    </w:lvl>
    <w:lvl w:ilvl="3" w:tplc="CE1EF484">
      <w:start w:val="1"/>
      <w:numFmt w:val="bullet"/>
      <w:lvlText w:val=""/>
      <w:lvlJc w:val="left"/>
    </w:lvl>
    <w:lvl w:ilvl="4" w:tplc="1CDA4B42">
      <w:start w:val="1"/>
      <w:numFmt w:val="bullet"/>
      <w:lvlText w:val=""/>
      <w:lvlJc w:val="left"/>
    </w:lvl>
    <w:lvl w:ilvl="5" w:tplc="9E164382">
      <w:start w:val="1"/>
      <w:numFmt w:val="bullet"/>
      <w:lvlText w:val=""/>
      <w:lvlJc w:val="left"/>
    </w:lvl>
    <w:lvl w:ilvl="6" w:tplc="2BFCCD8A">
      <w:start w:val="1"/>
      <w:numFmt w:val="bullet"/>
      <w:lvlText w:val=""/>
      <w:lvlJc w:val="left"/>
    </w:lvl>
    <w:lvl w:ilvl="7" w:tplc="C5361AFC">
      <w:start w:val="1"/>
      <w:numFmt w:val="bullet"/>
      <w:lvlText w:val=""/>
      <w:lvlJc w:val="left"/>
    </w:lvl>
    <w:lvl w:ilvl="8" w:tplc="741E402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ADC86DC8">
      <w:start w:val="1"/>
      <w:numFmt w:val="decimal"/>
      <w:lvlText w:val="%1."/>
      <w:lvlJc w:val="left"/>
    </w:lvl>
    <w:lvl w:ilvl="1" w:tplc="F0CA34F4">
      <w:start w:val="1"/>
      <w:numFmt w:val="bullet"/>
      <w:lvlText w:val=""/>
      <w:lvlJc w:val="left"/>
    </w:lvl>
    <w:lvl w:ilvl="2" w:tplc="D83ADA08">
      <w:start w:val="1"/>
      <w:numFmt w:val="bullet"/>
      <w:lvlText w:val=""/>
      <w:lvlJc w:val="left"/>
    </w:lvl>
    <w:lvl w:ilvl="3" w:tplc="16147D96">
      <w:start w:val="1"/>
      <w:numFmt w:val="bullet"/>
      <w:lvlText w:val=""/>
      <w:lvlJc w:val="left"/>
    </w:lvl>
    <w:lvl w:ilvl="4" w:tplc="8056DA3E">
      <w:start w:val="1"/>
      <w:numFmt w:val="bullet"/>
      <w:lvlText w:val=""/>
      <w:lvlJc w:val="left"/>
    </w:lvl>
    <w:lvl w:ilvl="5" w:tplc="3612D82A">
      <w:start w:val="1"/>
      <w:numFmt w:val="bullet"/>
      <w:lvlText w:val=""/>
      <w:lvlJc w:val="left"/>
    </w:lvl>
    <w:lvl w:ilvl="6" w:tplc="821E2A7A">
      <w:start w:val="1"/>
      <w:numFmt w:val="bullet"/>
      <w:lvlText w:val=""/>
      <w:lvlJc w:val="left"/>
    </w:lvl>
    <w:lvl w:ilvl="7" w:tplc="DB749A7E">
      <w:start w:val="1"/>
      <w:numFmt w:val="bullet"/>
      <w:lvlText w:val=""/>
      <w:lvlJc w:val="left"/>
    </w:lvl>
    <w:lvl w:ilvl="8" w:tplc="660A095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5501A6"/>
    <w:rsid w:val="005501A6"/>
    <w:rsid w:val="00787448"/>
    <w:rsid w:val="008A750F"/>
    <w:rsid w:val="008F2B52"/>
    <w:rsid w:val="00C01F4A"/>
    <w:rsid w:val="00DC6962"/>
    <w:rsid w:val="00F03359"/>
    <w:rsid w:val="00F0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cnyari</cp:lastModifiedBy>
  <cp:revision>4</cp:revision>
  <dcterms:created xsi:type="dcterms:W3CDTF">2020-07-06T06:18:00Z</dcterms:created>
  <dcterms:modified xsi:type="dcterms:W3CDTF">2020-07-07T08:02:00Z</dcterms:modified>
</cp:coreProperties>
</file>