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577" w:rsidRPr="00DC006F" w:rsidRDefault="00F05577" w:rsidP="00F05577">
      <w:pPr>
        <w:spacing w:after="0" w:line="240" w:lineRule="auto"/>
        <w:rPr>
          <w:rFonts w:ascii="Times New Roman" w:hAnsi="Times New Roman" w:cs="Times New Roman"/>
          <w:b/>
          <w:sz w:val="24"/>
          <w:szCs w:val="24"/>
        </w:rPr>
      </w:pPr>
      <w:r w:rsidRPr="00DC006F">
        <w:rPr>
          <w:rFonts w:ascii="Times New Roman" w:hAnsi="Times New Roman" w:cs="Times New Roman"/>
          <w:b/>
          <w:sz w:val="24"/>
          <w:szCs w:val="24"/>
        </w:rPr>
        <w:t xml:space="preserve">ROMÂNIA </w:t>
      </w:r>
    </w:p>
    <w:p w:rsidR="00F05577" w:rsidRPr="00DC006F" w:rsidRDefault="00F05577" w:rsidP="00F05577">
      <w:pPr>
        <w:spacing w:after="0" w:line="240" w:lineRule="auto"/>
        <w:rPr>
          <w:rFonts w:ascii="Times New Roman" w:hAnsi="Times New Roman" w:cs="Times New Roman"/>
          <w:b/>
          <w:sz w:val="24"/>
          <w:szCs w:val="24"/>
        </w:rPr>
      </w:pPr>
      <w:r w:rsidRPr="00DC006F">
        <w:rPr>
          <w:rFonts w:ascii="Times New Roman" w:hAnsi="Times New Roman" w:cs="Times New Roman"/>
          <w:b/>
          <w:sz w:val="24"/>
          <w:szCs w:val="24"/>
        </w:rPr>
        <w:t xml:space="preserve">JUDETUL TIMIŞ </w:t>
      </w:r>
    </w:p>
    <w:p w:rsidR="00F05577" w:rsidRPr="00DC006F" w:rsidRDefault="00F05577" w:rsidP="00F05577">
      <w:pPr>
        <w:spacing w:after="0" w:line="240" w:lineRule="auto"/>
        <w:rPr>
          <w:rFonts w:ascii="Times New Roman" w:hAnsi="Times New Roman" w:cs="Times New Roman"/>
          <w:b/>
          <w:sz w:val="24"/>
          <w:szCs w:val="24"/>
        </w:rPr>
      </w:pPr>
      <w:r w:rsidRPr="00DC006F">
        <w:rPr>
          <w:rFonts w:ascii="Times New Roman" w:hAnsi="Times New Roman" w:cs="Times New Roman"/>
          <w:b/>
          <w:sz w:val="24"/>
          <w:szCs w:val="24"/>
        </w:rPr>
        <w:t xml:space="preserve">MUNICIPIUL TIMISOARA </w:t>
      </w:r>
    </w:p>
    <w:p w:rsidR="00F05577" w:rsidRPr="00DC006F" w:rsidRDefault="00F05577" w:rsidP="00F05577">
      <w:pPr>
        <w:spacing w:after="0" w:line="240" w:lineRule="auto"/>
        <w:rPr>
          <w:rFonts w:ascii="Times New Roman" w:hAnsi="Times New Roman" w:cs="Times New Roman"/>
          <w:b/>
          <w:sz w:val="24"/>
          <w:szCs w:val="24"/>
        </w:rPr>
      </w:pPr>
      <w:r w:rsidRPr="00DC006F">
        <w:rPr>
          <w:rFonts w:ascii="Times New Roman" w:hAnsi="Times New Roman" w:cs="Times New Roman"/>
          <w:b/>
          <w:sz w:val="24"/>
          <w:szCs w:val="24"/>
        </w:rPr>
        <w:t>CONSILIUL LOCAL CONSILIER LOCAL</w:t>
      </w:r>
    </w:p>
    <w:p w:rsidR="00621D6C" w:rsidRPr="00DC006F" w:rsidRDefault="00F05577" w:rsidP="00F05577">
      <w:pPr>
        <w:spacing w:after="0" w:line="240" w:lineRule="auto"/>
        <w:rPr>
          <w:rFonts w:ascii="Times New Roman" w:hAnsi="Times New Roman" w:cs="Times New Roman"/>
          <w:b/>
          <w:sz w:val="24"/>
          <w:szCs w:val="24"/>
        </w:rPr>
      </w:pPr>
      <w:r w:rsidRPr="00DC006F">
        <w:rPr>
          <w:rFonts w:ascii="Times New Roman" w:hAnsi="Times New Roman" w:cs="Times New Roman"/>
          <w:b/>
          <w:sz w:val="24"/>
          <w:szCs w:val="24"/>
        </w:rPr>
        <w:t xml:space="preserve">NR. </w:t>
      </w:r>
      <w:r w:rsidR="00031E6C">
        <w:rPr>
          <w:rFonts w:ascii="Times New Roman" w:hAnsi="Times New Roman" w:cs="Times New Roman"/>
          <w:b/>
          <w:sz w:val="24"/>
          <w:szCs w:val="24"/>
        </w:rPr>
        <w:t>CS2022-000023/13.04.2022</w:t>
      </w:r>
    </w:p>
    <w:p w:rsidR="00DC006F" w:rsidRDefault="00DC006F" w:rsidP="00F05577">
      <w:pPr>
        <w:spacing w:after="0" w:line="240" w:lineRule="auto"/>
        <w:rPr>
          <w:rFonts w:ascii="Times New Roman" w:hAnsi="Times New Roman" w:cs="Times New Roman"/>
          <w:sz w:val="24"/>
          <w:szCs w:val="24"/>
        </w:rPr>
      </w:pPr>
    </w:p>
    <w:p w:rsidR="00F05577" w:rsidRPr="00DC006F" w:rsidRDefault="00F05577" w:rsidP="00DC006F">
      <w:pPr>
        <w:pStyle w:val="NoSpacing"/>
        <w:jc w:val="center"/>
        <w:rPr>
          <w:rFonts w:ascii="Times New Roman" w:hAnsi="Times New Roman"/>
          <w:b/>
          <w:sz w:val="24"/>
          <w:szCs w:val="24"/>
        </w:rPr>
      </w:pPr>
      <w:r w:rsidRPr="00DC006F">
        <w:rPr>
          <w:rFonts w:ascii="Times New Roman" w:hAnsi="Times New Roman"/>
          <w:b/>
          <w:sz w:val="24"/>
          <w:szCs w:val="24"/>
        </w:rPr>
        <w:t>REFERAT DE APROBARE A PROIECTULUI DE HOTĂRÂRE</w:t>
      </w:r>
    </w:p>
    <w:p w:rsidR="00F05577" w:rsidRPr="006F6A48" w:rsidRDefault="00F05577" w:rsidP="00F05577">
      <w:pPr>
        <w:spacing w:after="0" w:line="240" w:lineRule="auto"/>
        <w:jc w:val="center"/>
        <w:rPr>
          <w:rFonts w:ascii="Times New Roman" w:hAnsi="Times New Roman" w:cs="Times New Roman"/>
          <w:color w:val="000000"/>
          <w:sz w:val="24"/>
          <w:szCs w:val="24"/>
        </w:rPr>
      </w:pPr>
      <w:r w:rsidRPr="006F6A48">
        <w:rPr>
          <w:rFonts w:ascii="Times New Roman" w:hAnsi="Times New Roman" w:cs="Times New Roman"/>
          <w:sz w:val="24"/>
          <w:szCs w:val="24"/>
        </w:rPr>
        <w:t xml:space="preserve">privind aprobarea </w:t>
      </w:r>
      <w:r w:rsidR="00DC006F" w:rsidRPr="00DC006F">
        <w:rPr>
          <w:rFonts w:ascii="Times New Roman" w:hAnsi="Times New Roman" w:cs="Times New Roman"/>
          <w:b/>
          <w:sz w:val="24"/>
          <w:szCs w:val="24"/>
        </w:rPr>
        <w:t>”</w:t>
      </w:r>
      <w:r w:rsidRPr="00DC006F">
        <w:rPr>
          <w:rFonts w:ascii="Times New Roman" w:hAnsi="Times New Roman" w:cs="Times New Roman"/>
          <w:b/>
          <w:spacing w:val="-2"/>
          <w:sz w:val="24"/>
          <w:szCs w:val="24"/>
        </w:rPr>
        <w:t xml:space="preserve">Regulamentului </w:t>
      </w:r>
      <w:r w:rsidRPr="00DC006F">
        <w:rPr>
          <w:rFonts w:ascii="Times New Roman" w:eastAsia="Arial" w:hAnsi="Times New Roman" w:cs="Times New Roman"/>
          <w:b/>
          <w:sz w:val="24"/>
          <w:szCs w:val="24"/>
        </w:rPr>
        <w:t>privind stabilirea  măsurilor de protecţia mediului  în timpul executării lucrărilor de construcţii în Municipiul Timișoara</w:t>
      </w:r>
      <w:r w:rsidR="00DC006F" w:rsidRPr="00DC006F">
        <w:rPr>
          <w:rFonts w:ascii="Times New Roman" w:eastAsia="Arial" w:hAnsi="Times New Roman" w:cs="Times New Roman"/>
          <w:b/>
          <w:sz w:val="24"/>
          <w:szCs w:val="24"/>
        </w:rPr>
        <w:t>”</w:t>
      </w:r>
    </w:p>
    <w:p w:rsidR="00F05577" w:rsidRPr="006F6A48" w:rsidRDefault="00F05577" w:rsidP="00F05577">
      <w:pPr>
        <w:spacing w:after="0" w:line="240" w:lineRule="auto"/>
        <w:jc w:val="center"/>
        <w:rPr>
          <w:rFonts w:ascii="Times New Roman" w:hAnsi="Times New Roman" w:cs="Times New Roman"/>
          <w:sz w:val="24"/>
          <w:szCs w:val="24"/>
        </w:rPr>
      </w:pPr>
    </w:p>
    <w:p w:rsidR="006F6A48" w:rsidRPr="006F6A48" w:rsidRDefault="006F6A48" w:rsidP="006F6A48">
      <w:pPr>
        <w:pStyle w:val="Normal1"/>
        <w:pBdr>
          <w:top w:val="nil"/>
          <w:left w:val="nil"/>
          <w:bottom w:val="nil"/>
          <w:right w:val="nil"/>
          <w:between w:val="nil"/>
        </w:pBdr>
        <w:ind w:firstLine="500"/>
        <w:jc w:val="both"/>
        <w:rPr>
          <w:rFonts w:ascii="Times New Roman" w:eastAsia="Arial" w:hAnsi="Times New Roman" w:cs="Times New Roman"/>
          <w:color w:val="212529"/>
        </w:rPr>
      </w:pPr>
      <w:r w:rsidRPr="006F6A48">
        <w:rPr>
          <w:rFonts w:ascii="Times New Roman" w:eastAsia="Arial" w:hAnsi="Times New Roman" w:cs="Times New Roman"/>
          <w:color w:val="212529"/>
        </w:rPr>
        <w:t>Activităţile umane au un impact fără precedent asupra mediului înconjurător, prin extinderea mediului antropic, urbanizare şi modificări socio-culturale. Astfel, în contextul schimbărilor climatice şi a densificarii urbane, sustenabilitatea şi reducerea poluării reprezintă o temă esenţială, ce necesită atenţie urgentă, în special în ceea ce priveşte activitățile de construcţii.</w:t>
      </w:r>
    </w:p>
    <w:p w:rsidR="006F6A48" w:rsidRPr="006F6A48" w:rsidRDefault="006F6A48" w:rsidP="006F6A48">
      <w:pPr>
        <w:pStyle w:val="Normal1"/>
        <w:pBdr>
          <w:top w:val="nil"/>
          <w:left w:val="nil"/>
          <w:bottom w:val="nil"/>
          <w:right w:val="nil"/>
          <w:between w:val="nil"/>
        </w:pBdr>
        <w:ind w:firstLine="500"/>
        <w:jc w:val="both"/>
        <w:rPr>
          <w:rFonts w:ascii="Times New Roman" w:eastAsia="Arial" w:hAnsi="Times New Roman" w:cs="Times New Roman"/>
          <w:color w:val="212529"/>
        </w:rPr>
      </w:pPr>
      <w:r w:rsidRPr="006F6A48">
        <w:rPr>
          <w:rFonts w:ascii="Times New Roman" w:eastAsia="Arial" w:hAnsi="Times New Roman" w:cs="Times New Roman"/>
          <w:color w:val="212529"/>
        </w:rPr>
        <w:t>Mediul construit are un impact substanţial asupra resurselor materiale, fiind implicit un</w:t>
      </w:r>
      <w:r w:rsidRPr="006F6A48">
        <w:rPr>
          <w:rFonts w:ascii="Times New Roman" w:eastAsia="Arial" w:hAnsi="Times New Roman" w:cs="Times New Roman"/>
          <w:color w:val="212529"/>
        </w:rPr>
        <w:br/>
        <w:t>factor determinant în ceea ce privește sănătatea, confortul şi productivitatea ocupanţilor. Mai</w:t>
      </w:r>
      <w:r w:rsidRPr="006F6A48">
        <w:rPr>
          <w:rFonts w:ascii="Times New Roman" w:eastAsia="Arial" w:hAnsi="Times New Roman" w:cs="Times New Roman"/>
          <w:color w:val="212529"/>
        </w:rPr>
        <w:br/>
        <w:t>mult, sectorul clădirilor este cel mai mare consumator de energie (40% consumul final de</w:t>
      </w:r>
      <w:r w:rsidRPr="006F6A48">
        <w:rPr>
          <w:rFonts w:ascii="Times New Roman" w:eastAsia="Arial" w:hAnsi="Times New Roman" w:cs="Times New Roman"/>
          <w:color w:val="212529"/>
        </w:rPr>
        <w:br/>
        <w:t>energie) şi responsabil pentru o cantitate semnificativă de emisii de CO2 (36% din emisiile de</w:t>
      </w:r>
      <w:r w:rsidRPr="006F6A48">
        <w:rPr>
          <w:rFonts w:ascii="Times New Roman" w:eastAsia="Arial" w:hAnsi="Times New Roman" w:cs="Times New Roman"/>
          <w:color w:val="212529"/>
        </w:rPr>
        <w:br/>
        <w:t>CO2).</w:t>
      </w:r>
    </w:p>
    <w:p w:rsidR="006F6A48" w:rsidRPr="006F6A48" w:rsidRDefault="006F6A48" w:rsidP="006F6A48">
      <w:pPr>
        <w:pStyle w:val="Normal1"/>
        <w:pBdr>
          <w:top w:val="nil"/>
          <w:left w:val="nil"/>
          <w:bottom w:val="nil"/>
          <w:right w:val="nil"/>
          <w:between w:val="nil"/>
        </w:pBdr>
        <w:ind w:firstLine="740"/>
        <w:jc w:val="both"/>
        <w:rPr>
          <w:rFonts w:ascii="Times New Roman" w:eastAsia="Arial" w:hAnsi="Times New Roman" w:cs="Times New Roman"/>
          <w:strike/>
          <w:color w:val="212529"/>
        </w:rPr>
      </w:pPr>
      <w:r w:rsidRPr="006F6A48">
        <w:rPr>
          <w:rFonts w:ascii="Times New Roman" w:eastAsia="Arial" w:hAnsi="Times New Roman" w:cs="Times New Roman"/>
          <w:color w:val="212529"/>
        </w:rPr>
        <w:t xml:space="preserve">În contextul în care cea mai presantă problemă de poluare atmosferică, cu care se confruntă în prezent Municipiul Timișoara este creşterea îngrijorătoare a emisiilor de particule în suspensie (PM10), monitorizarea calităţii aerului şi reducerea poluării este una dintre priorităţile de bază ale autorităţii locale, în vederea asigurări unui mediu de viață sănătos pentru locuitorii orașului. </w:t>
      </w:r>
    </w:p>
    <w:p w:rsidR="006F6A48" w:rsidRPr="006F6A48" w:rsidRDefault="006F6A48" w:rsidP="006F6A48">
      <w:pPr>
        <w:pStyle w:val="Normal1"/>
        <w:pBdr>
          <w:top w:val="nil"/>
          <w:left w:val="nil"/>
          <w:bottom w:val="nil"/>
          <w:right w:val="nil"/>
          <w:between w:val="nil"/>
        </w:pBdr>
        <w:ind w:firstLine="740"/>
        <w:jc w:val="both"/>
        <w:rPr>
          <w:rFonts w:ascii="Times New Roman" w:eastAsia="Arial" w:hAnsi="Times New Roman" w:cs="Times New Roman"/>
          <w:color w:val="212529"/>
        </w:rPr>
      </w:pPr>
      <w:r w:rsidRPr="006F6A48">
        <w:rPr>
          <w:rFonts w:ascii="Times New Roman" w:eastAsia="Arial" w:hAnsi="Times New Roman" w:cs="Times New Roman"/>
          <w:color w:val="212529"/>
        </w:rPr>
        <w:t xml:space="preserve">O cantitate semnificativă de particule în suspensie PM10 (diametru de 10 micrometri) provin din activitatea de construcţii. </w:t>
      </w:r>
    </w:p>
    <w:p w:rsidR="006F6A48" w:rsidRPr="006F6A48" w:rsidRDefault="006F6A48" w:rsidP="006F6A48">
      <w:pPr>
        <w:pStyle w:val="Normal1"/>
        <w:pBdr>
          <w:top w:val="nil"/>
          <w:left w:val="nil"/>
          <w:bottom w:val="nil"/>
          <w:right w:val="nil"/>
          <w:between w:val="nil"/>
        </w:pBdr>
        <w:ind w:firstLine="740"/>
        <w:jc w:val="both"/>
        <w:rPr>
          <w:rFonts w:ascii="Times New Roman" w:eastAsia="Arial" w:hAnsi="Times New Roman" w:cs="Times New Roman"/>
          <w:color w:val="212529"/>
        </w:rPr>
      </w:pPr>
      <w:r w:rsidRPr="006F6A48">
        <w:rPr>
          <w:rFonts w:ascii="Times New Roman" w:eastAsia="Arial" w:hAnsi="Times New Roman" w:cs="Times New Roman"/>
          <w:color w:val="212529"/>
        </w:rPr>
        <w:t xml:space="preserve">Scopul prezentului regulament este reglementarea activităților din construcții care presupun șantiere deschise (demolări, săpături, construcții noi, lucrări de infrastructură sau lucrări edilitare), în vederea reducerii emisiilor de particule în atmosferă. </w:t>
      </w:r>
    </w:p>
    <w:p w:rsidR="006F6A48" w:rsidRPr="006F6A48" w:rsidRDefault="006F6A48" w:rsidP="006F6A48">
      <w:pPr>
        <w:pStyle w:val="Normal1"/>
        <w:pBdr>
          <w:top w:val="nil"/>
          <w:left w:val="nil"/>
          <w:bottom w:val="nil"/>
          <w:right w:val="nil"/>
          <w:between w:val="nil"/>
        </w:pBdr>
        <w:ind w:firstLine="740"/>
        <w:jc w:val="both"/>
        <w:rPr>
          <w:rFonts w:ascii="Times New Roman" w:eastAsia="Arial" w:hAnsi="Times New Roman" w:cs="Times New Roman"/>
          <w:color w:val="212529"/>
        </w:rPr>
      </w:pPr>
      <w:r w:rsidRPr="006F6A48">
        <w:rPr>
          <w:rFonts w:ascii="Times New Roman" w:eastAsia="Arial" w:hAnsi="Times New Roman" w:cs="Times New Roman"/>
          <w:color w:val="212529"/>
        </w:rPr>
        <w:t>Prin prezentul regulament se stabilesc un set de măsuri și obligații pentru beneficiarii Autorizațiilor de Construire / Desființare care desfășoară activități de construcții în mod direct sau prin terți.</w:t>
      </w:r>
    </w:p>
    <w:p w:rsidR="006F6A48" w:rsidRPr="006F6A48" w:rsidRDefault="006F6A48" w:rsidP="006F6A48">
      <w:pPr>
        <w:pStyle w:val="Normal1"/>
        <w:pBdr>
          <w:top w:val="nil"/>
          <w:left w:val="nil"/>
          <w:bottom w:val="nil"/>
          <w:right w:val="nil"/>
          <w:between w:val="nil"/>
        </w:pBdr>
        <w:ind w:firstLine="740"/>
        <w:jc w:val="both"/>
        <w:rPr>
          <w:rFonts w:ascii="Times New Roman" w:eastAsia="Arial" w:hAnsi="Times New Roman" w:cs="Times New Roman"/>
          <w:strike/>
          <w:color w:val="212529"/>
        </w:rPr>
      </w:pPr>
      <w:r w:rsidRPr="006F6A48">
        <w:rPr>
          <w:rFonts w:ascii="Times New Roman" w:eastAsia="Arial" w:hAnsi="Times New Roman" w:cs="Times New Roman"/>
          <w:color w:val="212529"/>
        </w:rPr>
        <w:t xml:space="preserve">Principiile şi elementele strategice care fundamentează regulamentul includ principiul precauţiei, principiul prevenirii riscurilor ecologice şi a producerii daunelor şi înlăturarea cu prioritate a poluanţilor care periclitează nemijlocit şi grav sănătatea oamenilor. De asemenea, conform principiului "poluatorul plăteşte” responsabilitatea pentru activităţile de gestionare a deşeurilor și emisiilor provenite din lucrări de construcţii şi/sau desfiinţări revine generatorilor acestora. </w:t>
      </w:r>
    </w:p>
    <w:p w:rsidR="006F6A48" w:rsidRPr="006F6A48" w:rsidRDefault="006F6A48" w:rsidP="006F6A48">
      <w:pPr>
        <w:pStyle w:val="Normal1"/>
        <w:pBdr>
          <w:top w:val="nil"/>
          <w:left w:val="nil"/>
          <w:bottom w:val="nil"/>
          <w:right w:val="nil"/>
          <w:between w:val="nil"/>
        </w:pBdr>
        <w:ind w:firstLine="740"/>
        <w:jc w:val="both"/>
        <w:rPr>
          <w:rFonts w:ascii="Times New Roman" w:eastAsia="Arial" w:hAnsi="Times New Roman" w:cs="Times New Roman"/>
          <w:color w:val="212529"/>
        </w:rPr>
      </w:pPr>
      <w:r w:rsidRPr="006F6A48">
        <w:rPr>
          <w:rFonts w:ascii="Times New Roman" w:eastAsia="Arial" w:hAnsi="Times New Roman" w:cs="Times New Roman"/>
          <w:color w:val="212529"/>
        </w:rPr>
        <w:t xml:space="preserve">În vederea controlului poluării datorate şantierelor și a diminuării impactului negativ asupra mediului urban, este esenţială implementarea unor măsuri eficiente de reducere a prafului şi emisiilor, aplicate pentru fiecare activitate generatoare de praf desfăşurată pe şantier. Scopul final este protejarea sănătăţii populaţiei orașului şi implicit a lucrătorilor din şantier. Măsurile de reducere a prafului și emisiilor se vor aplica la toate activitățile desfășurate pe șantier care generează praf sau alte emisii, inclusiv pentru operațiunile de curățare a șantierului și a utilajelor. Este obligația beneficiarului Autorizației de Construire/Desființare  să se asigure în mod direct sau prin terți, că în cadrul șantierului se respecta toate măsurile  pentru reducerea prafului și emisiilor, respectiv, prevederile cuprinse în documentația tehnică de organizare a execuției (DTOE) care face parte integrantă din Autorizația de Construire/Desființate. </w:t>
      </w:r>
      <w:bookmarkStart w:id="0" w:name="_30j0zll" w:colFirst="0" w:colLast="0"/>
      <w:bookmarkEnd w:id="0"/>
    </w:p>
    <w:p w:rsidR="00756B62" w:rsidRDefault="00756B62" w:rsidP="00557296">
      <w:pPr>
        <w:pStyle w:val="Normal1"/>
        <w:pBdr>
          <w:top w:val="nil"/>
          <w:left w:val="nil"/>
          <w:bottom w:val="nil"/>
          <w:right w:val="nil"/>
          <w:between w:val="nil"/>
        </w:pBdr>
        <w:ind w:firstLine="740"/>
        <w:jc w:val="both"/>
        <w:rPr>
          <w:rFonts w:ascii="Times New Roman" w:hAnsi="Times New Roman" w:cs="Times New Roman"/>
        </w:rPr>
      </w:pPr>
      <w:bookmarkStart w:id="1" w:name="_GoBack"/>
      <w:bookmarkEnd w:id="1"/>
      <w:r w:rsidRPr="006F6A48">
        <w:rPr>
          <w:rFonts w:ascii="Times New Roman" w:hAnsi="Times New Roman" w:cs="Times New Roman"/>
        </w:rPr>
        <w:t xml:space="preserve">Având în vedere cele expuse, supunem spre analiză şi aprobare, în condiţiile legii, proiectul de hotărâre alăturat, privind aprobarea </w:t>
      </w:r>
      <w:r w:rsidRPr="006F6A48">
        <w:rPr>
          <w:rFonts w:ascii="Times New Roman" w:hAnsi="Times New Roman" w:cs="Times New Roman"/>
          <w:spacing w:val="-2"/>
        </w:rPr>
        <w:t xml:space="preserve">Regulamentului </w:t>
      </w:r>
      <w:r w:rsidRPr="006F6A48">
        <w:rPr>
          <w:rFonts w:ascii="Times New Roman" w:eastAsia="Arial" w:hAnsi="Times New Roman" w:cs="Times New Roman"/>
        </w:rPr>
        <w:t>privind stabilirea  măsurilor de protecţia mediului  în timpul executării lucrărilor de construcţii în Municipiul Timișoara</w:t>
      </w:r>
      <w:r w:rsidRPr="006F6A48">
        <w:rPr>
          <w:rFonts w:ascii="Times New Roman" w:hAnsi="Times New Roman" w:cs="Times New Roman"/>
        </w:rPr>
        <w:t xml:space="preserve">. </w:t>
      </w:r>
    </w:p>
    <w:p w:rsidR="00DC006F" w:rsidRDefault="00DC006F" w:rsidP="00557296">
      <w:pPr>
        <w:pStyle w:val="Normal1"/>
        <w:pBdr>
          <w:top w:val="nil"/>
          <w:left w:val="nil"/>
          <w:bottom w:val="nil"/>
          <w:right w:val="nil"/>
          <w:between w:val="nil"/>
        </w:pBdr>
        <w:ind w:firstLine="740"/>
        <w:jc w:val="both"/>
        <w:rPr>
          <w:rFonts w:ascii="Times New Roman" w:hAnsi="Times New Roman" w:cs="Times New Roman"/>
        </w:rPr>
      </w:pPr>
    </w:p>
    <w:tbl>
      <w:tblPr>
        <w:tblStyle w:val="TableGrid"/>
        <w:tblW w:w="10031"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8"/>
        <w:gridCol w:w="4733"/>
      </w:tblGrid>
      <w:tr w:rsidR="00DC006F" w:rsidRPr="00DC006F" w:rsidTr="009E526B">
        <w:tc>
          <w:tcPr>
            <w:tcW w:w="5298" w:type="dxa"/>
          </w:tcPr>
          <w:p w:rsidR="00DC006F" w:rsidRPr="00DC006F" w:rsidRDefault="00DC006F" w:rsidP="009E526B">
            <w:pPr>
              <w:pStyle w:val="NoSpacing"/>
              <w:jc w:val="center"/>
              <w:rPr>
                <w:rFonts w:ascii="Times New Roman" w:hAnsi="Times New Roman"/>
                <w:b/>
                <w:lang w:val="ro-RO"/>
              </w:rPr>
            </w:pPr>
            <w:r w:rsidRPr="00DC006F">
              <w:rPr>
                <w:rFonts w:ascii="Times New Roman" w:hAnsi="Times New Roman"/>
                <w:b/>
                <w:lang w:val="ro-RO"/>
              </w:rPr>
              <w:t xml:space="preserve">CONSILIER LOCAL </w:t>
            </w:r>
          </w:p>
        </w:tc>
        <w:tc>
          <w:tcPr>
            <w:tcW w:w="4733" w:type="dxa"/>
          </w:tcPr>
          <w:p w:rsidR="00DC006F" w:rsidRPr="00DC006F" w:rsidRDefault="00DC006F" w:rsidP="009E526B">
            <w:pPr>
              <w:pStyle w:val="NoSpacing"/>
              <w:ind w:left="-19"/>
              <w:jc w:val="center"/>
              <w:rPr>
                <w:rFonts w:ascii="Times New Roman" w:hAnsi="Times New Roman"/>
                <w:b/>
                <w:lang w:val="ro-RO"/>
              </w:rPr>
            </w:pPr>
            <w:r w:rsidRPr="00DC006F">
              <w:rPr>
                <w:rFonts w:ascii="Times New Roman" w:hAnsi="Times New Roman"/>
                <w:b/>
                <w:lang w:val="ro-RO"/>
              </w:rPr>
              <w:t xml:space="preserve">CONSILIER LOCAL </w:t>
            </w:r>
          </w:p>
        </w:tc>
      </w:tr>
      <w:tr w:rsidR="00DC006F" w:rsidRPr="00DC006F" w:rsidTr="009E526B">
        <w:trPr>
          <w:trHeight w:val="84"/>
        </w:trPr>
        <w:tc>
          <w:tcPr>
            <w:tcW w:w="5298" w:type="dxa"/>
          </w:tcPr>
          <w:p w:rsidR="00DC006F" w:rsidRPr="00DC006F" w:rsidRDefault="00DC006F" w:rsidP="009E526B">
            <w:pPr>
              <w:tabs>
                <w:tab w:val="left" w:pos="1920"/>
              </w:tabs>
              <w:jc w:val="center"/>
              <w:rPr>
                <w:rFonts w:ascii="Times New Roman" w:hAnsi="Times New Roman" w:cs="Times New Roman"/>
                <w:lang w:val="ro-RO"/>
              </w:rPr>
            </w:pPr>
            <w:r w:rsidRPr="00DC006F">
              <w:rPr>
                <w:rFonts w:ascii="Times New Roman" w:hAnsi="Times New Roman" w:cs="Times New Roman"/>
                <w:lang w:val="ro-RO"/>
              </w:rPr>
              <w:t>Rodica MILITARU</w:t>
            </w:r>
          </w:p>
        </w:tc>
        <w:tc>
          <w:tcPr>
            <w:tcW w:w="4733" w:type="dxa"/>
          </w:tcPr>
          <w:p w:rsidR="00DC006F" w:rsidRPr="00DC006F" w:rsidRDefault="00DC006F" w:rsidP="009E526B">
            <w:pPr>
              <w:tabs>
                <w:tab w:val="left" w:pos="1920"/>
              </w:tabs>
              <w:ind w:left="-19"/>
              <w:jc w:val="center"/>
              <w:rPr>
                <w:rFonts w:ascii="Times New Roman" w:hAnsi="Times New Roman" w:cs="Times New Roman"/>
                <w:lang w:val="ro-RO"/>
              </w:rPr>
            </w:pPr>
            <w:r w:rsidRPr="00DC006F">
              <w:rPr>
                <w:rFonts w:ascii="Times New Roman" w:hAnsi="Times New Roman" w:cs="Times New Roman"/>
                <w:lang w:val="ro-RO"/>
              </w:rPr>
              <w:t>Răzvam NEGRIȘANU</w:t>
            </w:r>
          </w:p>
        </w:tc>
      </w:tr>
    </w:tbl>
    <w:p w:rsidR="00DC006F" w:rsidRPr="006F6A48" w:rsidRDefault="00DC006F" w:rsidP="00557296">
      <w:pPr>
        <w:pStyle w:val="Normal1"/>
        <w:pBdr>
          <w:top w:val="nil"/>
          <w:left w:val="nil"/>
          <w:bottom w:val="nil"/>
          <w:right w:val="nil"/>
          <w:between w:val="nil"/>
        </w:pBdr>
        <w:ind w:firstLine="740"/>
        <w:jc w:val="both"/>
        <w:rPr>
          <w:rFonts w:ascii="Times New Roman" w:hAnsi="Times New Roman" w:cs="Times New Roman"/>
        </w:rPr>
      </w:pPr>
    </w:p>
    <w:sectPr w:rsidR="00DC006F" w:rsidRPr="006F6A48" w:rsidSect="00DC006F">
      <w:pgSz w:w="11906" w:h="16838" w:code="9"/>
      <w:pgMar w:top="907" w:right="851" w:bottom="851" w:left="124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C1D157" w15:done="0"/>
</w15:commentsEx>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mo">
    <w:altName w:val="Times New Roman"/>
    <w:charset w:val="00"/>
    <w:family w:val="auto"/>
    <w:pitch w:val="default"/>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us">
    <w15:presenceInfo w15:providerId="None" w15:userId="Asu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savePreviewPicture/>
  <w:compat/>
  <w:rsids>
    <w:rsidRoot w:val="00F05577"/>
    <w:rsid w:val="000136D6"/>
    <w:rsid w:val="00031E6C"/>
    <w:rsid w:val="0015251F"/>
    <w:rsid w:val="004877A8"/>
    <w:rsid w:val="00557296"/>
    <w:rsid w:val="00621D6C"/>
    <w:rsid w:val="006F6A48"/>
    <w:rsid w:val="00756B62"/>
    <w:rsid w:val="008D405F"/>
    <w:rsid w:val="0096421E"/>
    <w:rsid w:val="00A23B98"/>
    <w:rsid w:val="00DC006F"/>
    <w:rsid w:val="00DD0D3C"/>
    <w:rsid w:val="00F0557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0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F6A48"/>
    <w:pPr>
      <w:widowControl w:val="0"/>
      <w:spacing w:after="0" w:line="240" w:lineRule="auto"/>
    </w:pPr>
    <w:rPr>
      <w:rFonts w:ascii="Arimo" w:eastAsia="Arimo" w:hAnsi="Arimo" w:cs="Arimo"/>
      <w:sz w:val="24"/>
      <w:szCs w:val="24"/>
    </w:rPr>
  </w:style>
  <w:style w:type="character" w:styleId="CommentReference">
    <w:name w:val="annotation reference"/>
    <w:basedOn w:val="DefaultParagraphFont"/>
    <w:uiPriority w:val="99"/>
    <w:semiHidden/>
    <w:unhideWhenUsed/>
    <w:rsid w:val="0096421E"/>
    <w:rPr>
      <w:sz w:val="16"/>
      <w:szCs w:val="16"/>
    </w:rPr>
  </w:style>
  <w:style w:type="paragraph" w:styleId="CommentText">
    <w:name w:val="annotation text"/>
    <w:basedOn w:val="Normal"/>
    <w:link w:val="CommentTextChar"/>
    <w:uiPriority w:val="99"/>
    <w:semiHidden/>
    <w:unhideWhenUsed/>
    <w:rsid w:val="0096421E"/>
    <w:pPr>
      <w:spacing w:line="240" w:lineRule="auto"/>
    </w:pPr>
    <w:rPr>
      <w:sz w:val="20"/>
      <w:szCs w:val="20"/>
    </w:rPr>
  </w:style>
  <w:style w:type="character" w:customStyle="1" w:styleId="CommentTextChar">
    <w:name w:val="Comment Text Char"/>
    <w:basedOn w:val="DefaultParagraphFont"/>
    <w:link w:val="CommentText"/>
    <w:uiPriority w:val="99"/>
    <w:semiHidden/>
    <w:rsid w:val="0096421E"/>
    <w:rPr>
      <w:sz w:val="20"/>
      <w:szCs w:val="20"/>
    </w:rPr>
  </w:style>
  <w:style w:type="paragraph" w:styleId="CommentSubject">
    <w:name w:val="annotation subject"/>
    <w:basedOn w:val="CommentText"/>
    <w:next w:val="CommentText"/>
    <w:link w:val="CommentSubjectChar"/>
    <w:uiPriority w:val="99"/>
    <w:semiHidden/>
    <w:unhideWhenUsed/>
    <w:rsid w:val="0096421E"/>
    <w:rPr>
      <w:b/>
      <w:bCs/>
    </w:rPr>
  </w:style>
  <w:style w:type="character" w:customStyle="1" w:styleId="CommentSubjectChar">
    <w:name w:val="Comment Subject Char"/>
    <w:basedOn w:val="CommentTextChar"/>
    <w:link w:val="CommentSubject"/>
    <w:uiPriority w:val="99"/>
    <w:semiHidden/>
    <w:rsid w:val="0096421E"/>
    <w:rPr>
      <w:b/>
      <w:bCs/>
      <w:sz w:val="20"/>
      <w:szCs w:val="20"/>
    </w:rPr>
  </w:style>
  <w:style w:type="paragraph" w:styleId="BalloonText">
    <w:name w:val="Balloon Text"/>
    <w:basedOn w:val="Normal"/>
    <w:link w:val="BalloonTextChar"/>
    <w:uiPriority w:val="99"/>
    <w:semiHidden/>
    <w:unhideWhenUsed/>
    <w:rsid w:val="00964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21E"/>
    <w:rPr>
      <w:rFonts w:ascii="Segoe UI" w:hAnsi="Segoe UI" w:cs="Segoe UI"/>
      <w:sz w:val="18"/>
      <w:szCs w:val="18"/>
    </w:rPr>
  </w:style>
  <w:style w:type="paragraph" w:styleId="NoSpacing">
    <w:name w:val="No Spacing"/>
    <w:link w:val="NoSpacingChar"/>
    <w:uiPriority w:val="1"/>
    <w:qFormat/>
    <w:rsid w:val="00DC006F"/>
    <w:pPr>
      <w:spacing w:after="0" w:line="240" w:lineRule="auto"/>
    </w:pPr>
    <w:rPr>
      <w:rFonts w:ascii="Calibri" w:eastAsia="Calibri" w:hAnsi="Calibri" w:cs="Times New Roman"/>
    </w:rPr>
  </w:style>
  <w:style w:type="character" w:customStyle="1" w:styleId="NoSpacingChar">
    <w:name w:val="No Spacing Char"/>
    <w:link w:val="NoSpacing"/>
    <w:uiPriority w:val="1"/>
    <w:rsid w:val="00DC006F"/>
    <w:rPr>
      <w:rFonts w:ascii="Calibri" w:eastAsia="Calibri" w:hAnsi="Calibri" w:cs="Times New Roman"/>
    </w:rPr>
  </w:style>
  <w:style w:type="table" w:styleId="TableGrid">
    <w:name w:val="Table Grid"/>
    <w:basedOn w:val="TableNormal"/>
    <w:uiPriority w:val="59"/>
    <w:rsid w:val="00DC006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F6A48"/>
    <w:pPr>
      <w:widowControl w:val="0"/>
      <w:spacing w:after="0" w:line="240" w:lineRule="auto"/>
    </w:pPr>
    <w:rPr>
      <w:rFonts w:ascii="Arimo" w:eastAsia="Arimo" w:hAnsi="Arimo" w:cs="Arimo"/>
      <w:sz w:val="24"/>
      <w:szCs w:val="24"/>
    </w:rPr>
  </w:style>
  <w:style w:type="character" w:styleId="CommentReference">
    <w:name w:val="annotation reference"/>
    <w:basedOn w:val="DefaultParagraphFont"/>
    <w:uiPriority w:val="99"/>
    <w:semiHidden/>
    <w:unhideWhenUsed/>
    <w:rsid w:val="0096421E"/>
    <w:rPr>
      <w:sz w:val="16"/>
      <w:szCs w:val="16"/>
    </w:rPr>
  </w:style>
  <w:style w:type="paragraph" w:styleId="CommentText">
    <w:name w:val="annotation text"/>
    <w:basedOn w:val="Normal"/>
    <w:link w:val="CommentTextChar"/>
    <w:uiPriority w:val="99"/>
    <w:semiHidden/>
    <w:unhideWhenUsed/>
    <w:rsid w:val="0096421E"/>
    <w:pPr>
      <w:spacing w:line="240" w:lineRule="auto"/>
    </w:pPr>
    <w:rPr>
      <w:sz w:val="20"/>
      <w:szCs w:val="20"/>
    </w:rPr>
  </w:style>
  <w:style w:type="character" w:customStyle="1" w:styleId="CommentTextChar">
    <w:name w:val="Comment Text Char"/>
    <w:basedOn w:val="DefaultParagraphFont"/>
    <w:link w:val="CommentText"/>
    <w:uiPriority w:val="99"/>
    <w:semiHidden/>
    <w:rsid w:val="0096421E"/>
    <w:rPr>
      <w:sz w:val="20"/>
      <w:szCs w:val="20"/>
    </w:rPr>
  </w:style>
  <w:style w:type="paragraph" w:styleId="CommentSubject">
    <w:name w:val="annotation subject"/>
    <w:basedOn w:val="CommentText"/>
    <w:next w:val="CommentText"/>
    <w:link w:val="CommentSubjectChar"/>
    <w:uiPriority w:val="99"/>
    <w:semiHidden/>
    <w:unhideWhenUsed/>
    <w:rsid w:val="0096421E"/>
    <w:rPr>
      <w:b/>
      <w:bCs/>
    </w:rPr>
  </w:style>
  <w:style w:type="character" w:customStyle="1" w:styleId="CommentSubjectChar">
    <w:name w:val="Comment Subject Char"/>
    <w:basedOn w:val="CommentTextChar"/>
    <w:link w:val="CommentSubject"/>
    <w:uiPriority w:val="99"/>
    <w:semiHidden/>
    <w:rsid w:val="0096421E"/>
    <w:rPr>
      <w:b/>
      <w:bCs/>
      <w:sz w:val="20"/>
      <w:szCs w:val="20"/>
    </w:rPr>
  </w:style>
  <w:style w:type="paragraph" w:styleId="BalloonText">
    <w:name w:val="Balloon Text"/>
    <w:basedOn w:val="Normal"/>
    <w:link w:val="BalloonTextChar"/>
    <w:uiPriority w:val="99"/>
    <w:semiHidden/>
    <w:unhideWhenUsed/>
    <w:rsid w:val="00964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21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565</Words>
  <Characters>3279</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 Militaru</dc:creator>
  <cp:lastModifiedBy>vbirda</cp:lastModifiedBy>
  <cp:revision>2</cp:revision>
  <dcterms:created xsi:type="dcterms:W3CDTF">2022-04-19T09:30:00Z</dcterms:created>
  <dcterms:modified xsi:type="dcterms:W3CDTF">2022-04-19T09:30:00Z</dcterms:modified>
</cp:coreProperties>
</file>