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C15" w:rsidRDefault="00C75C15" w:rsidP="00C75C15">
      <w:pPr>
        <w:rPr>
          <w:b/>
          <w:bCs/>
        </w:rPr>
      </w:pPr>
    </w:p>
    <w:p w:rsidR="00C75C15" w:rsidRDefault="00C75C15" w:rsidP="00C75C15">
      <w:pPr>
        <w:rPr>
          <w:b/>
          <w:bCs/>
        </w:rPr>
      </w:pPr>
    </w:p>
    <w:p w:rsidR="00C75C15" w:rsidRDefault="00C75C15" w:rsidP="00C75C15">
      <w:pPr>
        <w:rPr>
          <w:b/>
          <w:bCs/>
        </w:rPr>
      </w:pPr>
    </w:p>
    <w:p w:rsidR="00C75C15" w:rsidRDefault="00C75C15" w:rsidP="00C75C15">
      <w:pPr>
        <w:tabs>
          <w:tab w:val="left" w:pos="7883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:rsidR="00C75C15" w:rsidRDefault="00C75C15" w:rsidP="00C75C15">
      <w:pPr>
        <w:jc w:val="center"/>
        <w:outlineLvl w:val="0"/>
        <w:rPr>
          <w:b/>
          <w:bCs/>
          <w:sz w:val="32"/>
          <w:szCs w:val="32"/>
        </w:rPr>
      </w:pPr>
      <w:r w:rsidRPr="00C75C15">
        <w:rPr>
          <w:b/>
          <w:bCs/>
          <w:sz w:val="32"/>
          <w:szCs w:val="32"/>
        </w:rPr>
        <w:t>PROCES – VERBAL AL ŞEDINŢEI DIN DATA DE 22.03.2013</w:t>
      </w:r>
    </w:p>
    <w:p w:rsidR="00FC6D49" w:rsidRPr="00FC6D49" w:rsidRDefault="00FC6D49" w:rsidP="00C75C15">
      <w:pPr>
        <w:jc w:val="center"/>
        <w:outlineLvl w:val="0"/>
        <w:rPr>
          <w:bCs/>
          <w:sz w:val="28"/>
          <w:szCs w:val="28"/>
          <w:lang w:val="pt-BR"/>
        </w:rPr>
      </w:pPr>
      <w:r w:rsidRPr="00FC6D49">
        <w:rPr>
          <w:bCs/>
          <w:sz w:val="28"/>
          <w:szCs w:val="28"/>
        </w:rPr>
        <w:t xml:space="preserve"> ÎNCHEIAT LA SEDIUL UNIVERSITĂŢII POLITEHNICA DIN TIMIŞOARA</w:t>
      </w:r>
    </w:p>
    <w:p w:rsidR="00C75C15" w:rsidRDefault="00C75C15" w:rsidP="00C75C15">
      <w:pPr>
        <w:jc w:val="center"/>
        <w:outlineLvl w:val="0"/>
        <w:rPr>
          <w:b/>
          <w:bCs/>
          <w:sz w:val="28"/>
          <w:szCs w:val="28"/>
          <w:lang w:val="pt-BR"/>
        </w:rPr>
      </w:pPr>
    </w:p>
    <w:p w:rsidR="00C75C15" w:rsidRDefault="00C75C15" w:rsidP="00C75C15">
      <w:pPr>
        <w:jc w:val="center"/>
        <w:outlineLvl w:val="0"/>
        <w:rPr>
          <w:b/>
          <w:bCs/>
          <w:sz w:val="28"/>
          <w:szCs w:val="28"/>
          <w:lang w:val="pt-BR"/>
        </w:rPr>
      </w:pPr>
    </w:p>
    <w:p w:rsidR="00C75C15" w:rsidRDefault="00C75C15" w:rsidP="00C75C15">
      <w:pPr>
        <w:jc w:val="center"/>
        <w:rPr>
          <w:b/>
          <w:bCs/>
          <w:lang w:val="pt-BR"/>
        </w:rPr>
      </w:pPr>
    </w:p>
    <w:p w:rsidR="00C75C15" w:rsidRDefault="00C75C15" w:rsidP="00C75C15">
      <w:pPr>
        <w:jc w:val="both"/>
        <w:rPr>
          <w:b/>
          <w:bCs/>
          <w:lang w:val="pt-BR"/>
        </w:rPr>
      </w:pPr>
    </w:p>
    <w:p w:rsidR="00C75C15" w:rsidRDefault="00C75C15" w:rsidP="00C75C15">
      <w:pPr>
        <w:jc w:val="both"/>
        <w:rPr>
          <w:b/>
          <w:bCs/>
          <w:lang w:val="pt-BR"/>
        </w:rPr>
      </w:pPr>
      <w:r>
        <w:rPr>
          <w:b/>
          <w:bCs/>
          <w:lang w:val="pt-BR"/>
        </w:rPr>
        <w:t xml:space="preserve">           </w:t>
      </w:r>
      <w:r w:rsidR="00FC6D49" w:rsidRPr="00FC6D49">
        <w:rPr>
          <w:bCs/>
          <w:lang w:val="pt-BR"/>
        </w:rPr>
        <w:t>Din partea</w:t>
      </w:r>
      <w:r w:rsidR="00FC6D49">
        <w:rPr>
          <w:b/>
          <w:bCs/>
          <w:lang w:val="pt-BR"/>
        </w:rPr>
        <w:t xml:space="preserve"> </w:t>
      </w:r>
      <w:r w:rsidRPr="00C75C15">
        <w:rPr>
          <w:bCs/>
          <w:lang w:val="pt-BR"/>
        </w:rPr>
        <w:t>MUNICIPIUL</w:t>
      </w:r>
      <w:r w:rsidR="00FC6D49">
        <w:rPr>
          <w:bCs/>
          <w:lang w:val="pt-BR"/>
        </w:rPr>
        <w:t>UI</w:t>
      </w:r>
      <w:r w:rsidRPr="00C75C15">
        <w:rPr>
          <w:bCs/>
          <w:lang w:val="pt-BR"/>
        </w:rPr>
        <w:t xml:space="preserve"> TIMISOARA</w:t>
      </w:r>
      <w:r w:rsidR="00FC6D49">
        <w:rPr>
          <w:lang w:val="pt-BR"/>
        </w:rPr>
        <w:t xml:space="preserve"> au fost prezenţi</w:t>
      </w:r>
      <w:r>
        <w:rPr>
          <w:lang w:val="pt-BR"/>
        </w:rPr>
        <w:t xml:space="preserve"> dl. Mihai Costa – Director Direcţia Instituţii Şcolare, Medicale, Sportiv</w:t>
      </w:r>
      <w:r w:rsidR="00855276">
        <w:rPr>
          <w:lang w:val="pt-BR"/>
        </w:rPr>
        <w:t xml:space="preserve">e şi Culturale, dl. </w:t>
      </w:r>
      <w:r w:rsidR="00C361AD">
        <w:rPr>
          <w:lang w:val="pt-BR"/>
        </w:rPr>
        <w:t xml:space="preserve">Ion </w:t>
      </w:r>
      <w:r w:rsidR="00855276">
        <w:rPr>
          <w:lang w:val="pt-BR"/>
        </w:rPr>
        <w:t xml:space="preserve">Craşovan </w:t>
      </w:r>
      <w:r>
        <w:rPr>
          <w:lang w:val="pt-BR"/>
        </w:rPr>
        <w:t>– consilier şi</w:t>
      </w:r>
      <w:r w:rsidR="00FC6D49">
        <w:rPr>
          <w:lang w:val="pt-BR"/>
        </w:rPr>
        <w:t xml:space="preserve"> dl. Cristian Marchiş</w:t>
      </w:r>
      <w:r>
        <w:rPr>
          <w:lang w:val="pt-BR"/>
        </w:rPr>
        <w:t>– consilier Juridic şi</w:t>
      </w:r>
      <w:r w:rsidR="00FC6D49">
        <w:rPr>
          <w:lang w:val="pt-BR"/>
        </w:rPr>
        <w:t xml:space="preserve"> din partea</w:t>
      </w:r>
      <w:r>
        <w:rPr>
          <w:lang w:val="pt-BR"/>
        </w:rPr>
        <w:t xml:space="preserve"> </w:t>
      </w:r>
      <w:r w:rsidR="00FC6D49">
        <w:rPr>
          <w:bCs/>
        </w:rPr>
        <w:t>UNIVERSITĂŢII „POLITEHNICA” DIN TIMISOARA</w:t>
      </w:r>
      <w:r>
        <w:rPr>
          <w:lang w:val="pt-BR"/>
        </w:rPr>
        <w:t xml:space="preserve"> </w:t>
      </w:r>
      <w:r w:rsidR="00FC6D49">
        <w:rPr>
          <w:lang w:val="pt-BR"/>
        </w:rPr>
        <w:t>au fost prezenţi</w:t>
      </w:r>
      <w:r w:rsidR="00DE3C69">
        <w:rPr>
          <w:lang w:val="pt-BR"/>
        </w:rPr>
        <w:t xml:space="preserve"> dl. ec. Florian Miclea</w:t>
      </w:r>
      <w:r>
        <w:rPr>
          <w:lang w:val="pt-BR"/>
        </w:rPr>
        <w:t xml:space="preserve"> în calitate de Director Financiar Contabil, Florenţiu Staicu – Director general administrativ, d-na Suba Dana – Şef servicii achiziţii publice şi dl. Constantin Alecsa – consilier juridic</w:t>
      </w:r>
      <w:r w:rsidR="00FC6D49">
        <w:rPr>
          <w:lang w:val="pt-BR"/>
        </w:rPr>
        <w:t>. Părţile</w:t>
      </w:r>
      <w:r>
        <w:rPr>
          <w:lang w:val="pt-BR"/>
        </w:rPr>
        <w:t xml:space="preserve"> au convenit să încheie </w:t>
      </w:r>
      <w:r w:rsidRPr="00C75C15">
        <w:rPr>
          <w:bCs/>
          <w:lang w:val="pt-BR"/>
        </w:rPr>
        <w:t xml:space="preserve">un </w:t>
      </w:r>
      <w:r>
        <w:rPr>
          <w:lang w:val="pt-BR"/>
        </w:rPr>
        <w:t xml:space="preserve">contract de asociere în temeiul prevederilor art. 1949 – 1954 din Codul civil, ale art. 1166 şi următoarele din Codul civil, ale art. 36 alin. 2 lit. e şi ale pct. (7) lit. a din Legea nr. 215/2001 privind administraţia publică locală, republicată şi modificată. </w:t>
      </w:r>
      <w:r>
        <w:rPr>
          <w:b/>
          <w:bCs/>
          <w:lang w:val="pt-BR"/>
        </w:rPr>
        <w:t xml:space="preserve"> </w:t>
      </w:r>
    </w:p>
    <w:p w:rsidR="00C75C15" w:rsidRPr="00C75C15" w:rsidRDefault="00C75C15" w:rsidP="00C75C15">
      <w:pPr>
        <w:jc w:val="both"/>
        <w:rPr>
          <w:b/>
          <w:bCs/>
          <w:lang w:val="pt-BR"/>
        </w:rPr>
      </w:pPr>
      <w:r>
        <w:rPr>
          <w:b/>
          <w:bCs/>
          <w:lang w:val="pt-BR"/>
        </w:rPr>
        <w:t xml:space="preserve">           </w:t>
      </w:r>
      <w:r w:rsidR="00DF2F4B">
        <w:rPr>
          <w:b/>
          <w:bCs/>
          <w:lang w:val="pt-BR"/>
        </w:rPr>
        <w:t xml:space="preserve"> </w:t>
      </w:r>
      <w:r>
        <w:rPr>
          <w:lang w:val="pt-BR"/>
        </w:rPr>
        <w:t xml:space="preserve">Asocierea are ca obiect </w:t>
      </w:r>
      <w:r>
        <w:t xml:space="preserve">finanţarea si realizarea în comun </w:t>
      </w:r>
      <w:r>
        <w:rPr>
          <w:lang w:val="pt-BR"/>
        </w:rPr>
        <w:t xml:space="preserve">de către părţile contractante a obiectivului de investitii “Sala Polivalenta </w:t>
      </w:r>
      <w:r>
        <w:t>2200 de locuri</w:t>
      </w:r>
      <w:r>
        <w:rPr>
          <w:lang w:val="pt-BR"/>
        </w:rPr>
        <w:t xml:space="preserve">”, </w:t>
      </w:r>
      <w:r>
        <w:t>începută de Universitatea „Politehnica” din Timişoara în baza Ordinului MEdCTS nr. 3951/08.05.2008, în locaţia „Baza Sportivă nr. 2 a Universităţii „Politehnica” din Timişoara”, situată la adrsa din Timişoara, str. dr. Nicolae Păunescu Podeanu nr. 2, jud. Timiş, conform autorizaţiei de construire nr. 1640/22.09.2010.</w:t>
      </w:r>
    </w:p>
    <w:p w:rsidR="00C75C15" w:rsidRDefault="00DF2F4B" w:rsidP="00C75C15">
      <w:pPr>
        <w:autoSpaceDE w:val="0"/>
        <w:autoSpaceDN w:val="0"/>
        <w:adjustRightInd w:val="0"/>
        <w:spacing w:line="20" w:lineRule="atLeast"/>
        <w:jc w:val="both"/>
        <w:rPr>
          <w:b/>
          <w:bCs/>
          <w:lang w:val="pt-BR"/>
        </w:rPr>
      </w:pPr>
      <w:r>
        <w:rPr>
          <w:b/>
          <w:bCs/>
          <w:lang w:val="pt-BR"/>
        </w:rPr>
        <w:t xml:space="preserve">           </w:t>
      </w:r>
      <w:r w:rsidR="00DE3C69" w:rsidRPr="00DE3C69">
        <w:rPr>
          <w:bCs/>
          <w:lang w:val="pt-BR"/>
        </w:rPr>
        <w:t>S-a convenit de comun acord ca</w:t>
      </w:r>
      <w:r w:rsidR="00DE3C69">
        <w:rPr>
          <w:b/>
          <w:bCs/>
          <w:lang w:val="pt-BR"/>
        </w:rPr>
        <w:t xml:space="preserve"> </w:t>
      </w:r>
      <w:r w:rsidR="00DE3C69">
        <w:rPr>
          <w:lang w:val="pt-BR"/>
        </w:rPr>
        <w:t>p</w:t>
      </w:r>
      <w:r w:rsidR="00C75C15">
        <w:rPr>
          <w:lang w:val="pt-BR"/>
        </w:rPr>
        <w:t xml:space="preserve">rezenta asociere se încheie pe toată durata de existenţă a obiectivului </w:t>
      </w:r>
      <w:r w:rsidR="00DE3C69">
        <w:rPr>
          <w:lang w:val="pt-BR"/>
        </w:rPr>
        <w:t>Sala Polivalentă</w:t>
      </w:r>
      <w:r w:rsidR="00C75C15">
        <w:rPr>
          <w:lang w:val="pt-BR"/>
        </w:rPr>
        <w:t>.</w:t>
      </w:r>
      <w:r>
        <w:rPr>
          <w:b/>
          <w:bCs/>
          <w:lang w:val="pt-BR"/>
        </w:rPr>
        <w:t xml:space="preserve"> </w:t>
      </w:r>
      <w:r w:rsidR="00C75C15">
        <w:rPr>
          <w:lang w:val="pt-BR"/>
        </w:rPr>
        <w:t>Părţile contractante c</w:t>
      </w:r>
      <w:r>
        <w:rPr>
          <w:lang w:val="pt-BR"/>
        </w:rPr>
        <w:t>onvin ca termenul de finalizare</w:t>
      </w:r>
      <w:r w:rsidR="00C75C15">
        <w:rPr>
          <w:lang w:val="pt-BR"/>
        </w:rPr>
        <w:t xml:space="preserve"> a Sălii Polivalente sa fie la data de 30.06.2014. </w:t>
      </w:r>
    </w:p>
    <w:p w:rsidR="00C75C15" w:rsidRPr="00F85B59" w:rsidRDefault="00DF2F4B" w:rsidP="00C75C1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lang w:val="pt-BR"/>
        </w:rPr>
        <w:t xml:space="preserve">          </w:t>
      </w:r>
      <w:r>
        <w:rPr>
          <w:color w:val="000000"/>
        </w:rPr>
        <w:t>Contribuţia părţ</w:t>
      </w:r>
      <w:r w:rsidR="00C75C15">
        <w:rPr>
          <w:color w:val="000000"/>
        </w:rPr>
        <w:t>ilor contractante în cad</w:t>
      </w:r>
      <w:r>
        <w:rPr>
          <w:color w:val="000000"/>
        </w:rPr>
        <w:t xml:space="preserve">rul asocierii a </w:t>
      </w:r>
      <w:r w:rsidR="00C75C15">
        <w:rPr>
          <w:color w:val="000000"/>
        </w:rPr>
        <w:t>Municipiul</w:t>
      </w:r>
      <w:r>
        <w:rPr>
          <w:color w:val="000000"/>
        </w:rPr>
        <w:t>ui</w:t>
      </w:r>
      <w:r w:rsidR="00C75C15">
        <w:rPr>
          <w:color w:val="000000"/>
        </w:rPr>
        <w:t xml:space="preserve"> Timişoara </w:t>
      </w:r>
      <w:r>
        <w:rPr>
          <w:color w:val="000000"/>
        </w:rPr>
        <w:t>este în sumă</w:t>
      </w:r>
      <w:r w:rsidR="00142A88">
        <w:rPr>
          <w:color w:val="000000"/>
        </w:rPr>
        <w:t xml:space="preserve"> de maxim 10.000.000 lei</w:t>
      </w:r>
      <w:r w:rsidR="00C75C15">
        <w:rPr>
          <w:color w:val="000000"/>
        </w:rPr>
        <w:t xml:space="preserve"> din bugetul local, din cap. 67.02 „Cultura, recreere si religie”, subcap. 67.02.05.01-”Sport”</w:t>
      </w:r>
      <w:r w:rsidR="00F85B59">
        <w:rPr>
          <w:color w:val="000000"/>
        </w:rPr>
        <w:t xml:space="preserve">. </w:t>
      </w:r>
      <w:r w:rsidR="00C75C15">
        <w:rPr>
          <w:color w:val="000000"/>
        </w:rPr>
        <w:t>Municipiul Timisoara v</w:t>
      </w:r>
      <w:r w:rsidR="00C75C15">
        <w:t>a efectua</w:t>
      </w:r>
      <w:r w:rsidR="00142A88">
        <w:t xml:space="preserve"> plăţ</w:t>
      </w:r>
      <w:r w:rsidR="00F85B59">
        <w:t>il</w:t>
      </w:r>
      <w:r w:rsidR="00142A88">
        <w:t>e prezentului contract, în tranş</w:t>
      </w:r>
      <w:r w:rsidR="00F85B59">
        <w:t>e, î</w:t>
      </w:r>
      <w:r w:rsidR="00C75C15">
        <w:t xml:space="preserve">n limita bugetului </w:t>
      </w:r>
      <w:r w:rsidR="00F85B59">
        <w:t>disponibil si a disponibilului î</w:t>
      </w:r>
      <w:r w:rsidR="00C75C15">
        <w:t>n cont la data solicitarii de</w:t>
      </w:r>
      <w:r w:rsidR="00F85B59">
        <w:t xml:space="preserve"> plată, pe mă</w:t>
      </w:r>
      <w:r w:rsidR="00C75C15">
        <w:t>sura prezentarii si aprobarii documen</w:t>
      </w:r>
      <w:r w:rsidR="00142A88">
        <w:t>tatiei tehnice, respectiv situaţii de lucră</w:t>
      </w:r>
      <w:r w:rsidR="00C75C15">
        <w:t>r</w:t>
      </w:r>
      <w:r w:rsidR="00142A88">
        <w:t>i confirmate de dirigintele de ş</w:t>
      </w:r>
      <w:r w:rsidR="00C75C15">
        <w:t>antier si avizate de reprezentantul tehnic desemnat din partea Municipiului Timisoara.</w:t>
      </w:r>
    </w:p>
    <w:p w:rsidR="00C75C15" w:rsidRDefault="00C75C15" w:rsidP="00C75C15">
      <w:pPr>
        <w:autoSpaceDE w:val="0"/>
        <w:autoSpaceDN w:val="0"/>
        <w:adjustRightInd w:val="0"/>
        <w:jc w:val="both"/>
      </w:pPr>
      <w:r>
        <w:rPr>
          <w:b/>
          <w:bCs/>
          <w:color w:val="000000"/>
        </w:rPr>
        <w:t xml:space="preserve">       </w:t>
      </w:r>
      <w:r w:rsidR="00F85B59">
        <w:rPr>
          <w:b/>
          <w:bCs/>
          <w:color w:val="000000"/>
        </w:rPr>
        <w:t xml:space="preserve">  </w:t>
      </w:r>
      <w:r w:rsidR="00F85B59" w:rsidRPr="00F85B59">
        <w:rPr>
          <w:bCs/>
          <w:color w:val="000000"/>
        </w:rPr>
        <w:t>Părţile au convenit ca</w:t>
      </w:r>
      <w:r>
        <w:rPr>
          <w:color w:val="000000"/>
        </w:rPr>
        <w:t xml:space="preserve"> </w:t>
      </w:r>
      <w:r>
        <w:t xml:space="preserve">Universitatea „Politehnica” din </w:t>
      </w:r>
      <w:r>
        <w:rPr>
          <w:color w:val="000000"/>
        </w:rPr>
        <w:t>Timisoara</w:t>
      </w:r>
      <w:r w:rsidR="00F85B59">
        <w:rPr>
          <w:color w:val="000000"/>
        </w:rPr>
        <w:t xml:space="preserve"> să</w:t>
      </w:r>
      <w:r>
        <w:rPr>
          <w:color w:val="000000"/>
        </w:rPr>
        <w:t xml:space="preserve"> contribuie în cadrul asocierii, cu investiţia realizată până la data încheierii prezentului contract</w:t>
      </w:r>
      <w:r>
        <w:t xml:space="preserve">. În funcţie de alocaţiile bugetare, universitatea va contribui si cu alte sume necesare finalizării sălii polivalente. </w:t>
      </w:r>
    </w:p>
    <w:p w:rsidR="00C75C15" w:rsidRDefault="00C75C15" w:rsidP="00C75C15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      </w:t>
      </w:r>
      <w:r w:rsidR="00F85B59">
        <w:rPr>
          <w:b/>
          <w:bCs/>
        </w:rPr>
        <w:t xml:space="preserve">   </w:t>
      </w:r>
      <w:r w:rsidR="00F85B59">
        <w:t>Se</w:t>
      </w:r>
      <w:r>
        <w:t xml:space="preserve"> convin</w:t>
      </w:r>
      <w:r w:rsidR="00F85B59">
        <w:t>e</w:t>
      </w:r>
      <w:r>
        <w:t xml:space="preserve"> de comun acord</w:t>
      </w:r>
      <w:r w:rsidR="00F85B59">
        <w:t>, ca părţile să aducă</w:t>
      </w:r>
      <w:r>
        <w:t xml:space="preserve"> modificari proie</w:t>
      </w:r>
      <w:r w:rsidR="00F85B59">
        <w:t>ctului tehnic al obiectivului, în scopul de a creş</w:t>
      </w:r>
      <w:r>
        <w:t xml:space="preserve">te capacitatea Sălii Polivalente la 2500 de locuri şi de a crea alte facilităţi necesare omologării salii polivalente, în vederea oraganizării şi desfăşurării de competiţii sportive internaţionale. </w:t>
      </w:r>
    </w:p>
    <w:p w:rsidR="00C75C15" w:rsidRDefault="00C75C15" w:rsidP="00C75C15">
      <w:pPr>
        <w:autoSpaceDE w:val="0"/>
        <w:autoSpaceDN w:val="0"/>
        <w:adjustRightInd w:val="0"/>
        <w:jc w:val="both"/>
      </w:pPr>
      <w:r>
        <w:t xml:space="preserve">      </w:t>
      </w:r>
      <w:r w:rsidR="00F85B59">
        <w:rPr>
          <w:b/>
          <w:bCs/>
        </w:rPr>
        <w:t xml:space="preserve">    </w:t>
      </w:r>
      <w:r>
        <w:t>Sala Polivalentă va deveni proprietate comună a celor două părţi contractante, în cote părţi indivize, proporţionale cu contribuţia lor financiară la realizarea obiectivului.</w:t>
      </w:r>
    </w:p>
    <w:p w:rsidR="00C75C15" w:rsidRDefault="00C75C15" w:rsidP="00C75C15">
      <w:pPr>
        <w:jc w:val="both"/>
        <w:rPr>
          <w:color w:val="000000"/>
        </w:rPr>
      </w:pPr>
      <w:r>
        <w:rPr>
          <w:color w:val="000000"/>
        </w:rPr>
        <w:t xml:space="preserve">       </w:t>
      </w:r>
      <w:r w:rsidR="00F85B59">
        <w:rPr>
          <w:b/>
          <w:bCs/>
          <w:color w:val="000000"/>
        </w:rPr>
        <w:t xml:space="preserve">   </w:t>
      </w:r>
      <w:r>
        <w:rPr>
          <w:color w:val="000000"/>
        </w:rPr>
        <w:t>Cotele părţi indiv</w:t>
      </w:r>
      <w:r w:rsidR="00FC6D49">
        <w:rPr>
          <w:color w:val="000000"/>
        </w:rPr>
        <w:t xml:space="preserve">ize se vor stabili la valorile </w:t>
      </w:r>
      <w:r>
        <w:rPr>
          <w:color w:val="000000"/>
        </w:rPr>
        <w:t xml:space="preserve">actualizate ale investiţiei aferente contributiei fiecărei părţi, la data terminării lucrărilor. </w:t>
      </w:r>
    </w:p>
    <w:p w:rsidR="00C75C15" w:rsidRPr="00F85B59" w:rsidRDefault="00C75C15" w:rsidP="00C75C15">
      <w:pPr>
        <w:autoSpaceDE w:val="0"/>
        <w:autoSpaceDN w:val="0"/>
        <w:adjustRightInd w:val="0"/>
        <w:jc w:val="both"/>
      </w:pPr>
      <w:r>
        <w:lastRenderedPageBreak/>
        <w:t xml:space="preserve">      </w:t>
      </w:r>
      <w:r w:rsidR="00F85B59">
        <w:rPr>
          <w:b/>
          <w:bCs/>
        </w:rPr>
        <w:t xml:space="preserve">  </w:t>
      </w:r>
      <w:r>
        <w:t>Obiectivul de investiţii va fi utilizat de cele două instituţii în partaj, în cote proporţionale cu cota lor de proprietate.</w:t>
      </w:r>
      <w:r w:rsidR="00F85B59">
        <w:t xml:space="preserve"> </w:t>
      </w:r>
      <w:r>
        <w:t>Cheltuielile de funcţionare curentă, întreţinere, reparare, modernizare, dezvoltare a obiectivului de investiţii vor fi suportate de cele două instituţii împreună, în cote - părţi proporţionale cu cota lor de proprietate.</w:t>
      </w:r>
      <w:r>
        <w:rPr>
          <w:color w:val="000000"/>
        </w:rPr>
        <w:t xml:space="preserve"> </w:t>
      </w:r>
    </w:p>
    <w:p w:rsidR="00C75C15" w:rsidRDefault="00F85B59" w:rsidP="00C75C15">
      <w:pPr>
        <w:spacing w:line="20" w:lineRule="atLeast"/>
        <w:jc w:val="both"/>
      </w:pPr>
      <w:r>
        <w:rPr>
          <w:b/>
          <w:bCs/>
        </w:rPr>
        <w:t xml:space="preserve">        </w:t>
      </w:r>
      <w:r w:rsidR="00C75C15">
        <w:t>Încetarea prezentului contract poate avea loc în următoarele cazuri :</w:t>
      </w:r>
    </w:p>
    <w:p w:rsidR="00C75C15" w:rsidRDefault="00C75C15" w:rsidP="00C75C15">
      <w:pPr>
        <w:spacing w:line="20" w:lineRule="atLeast"/>
        <w:jc w:val="both"/>
        <w:rPr>
          <w:lang w:val="pt-BR"/>
        </w:rPr>
      </w:pPr>
      <w:r>
        <w:t xml:space="preserve">       </w:t>
      </w:r>
      <w:r>
        <w:rPr>
          <w:lang w:val="pt-BR"/>
        </w:rPr>
        <w:t xml:space="preserve">a)  prin acordul comun al celor două părţi, la initiativa uneia dintre acestea;                                                                                                           </w:t>
      </w:r>
    </w:p>
    <w:p w:rsidR="00C75C15" w:rsidRDefault="00C75C15" w:rsidP="00C75C15">
      <w:pPr>
        <w:spacing w:line="20" w:lineRule="atLeast"/>
        <w:jc w:val="both"/>
        <w:rPr>
          <w:lang w:val="fr-FR"/>
        </w:rPr>
      </w:pPr>
      <w:r>
        <w:rPr>
          <w:lang w:val="pt-BR"/>
        </w:rPr>
        <w:t xml:space="preserve">       </w:t>
      </w:r>
      <w:r>
        <w:rPr>
          <w:lang w:val="fr-FR"/>
        </w:rPr>
        <w:t xml:space="preserve">b)  </w:t>
      </w:r>
      <w:proofErr w:type="spellStart"/>
      <w:r>
        <w:rPr>
          <w:lang w:val="fr-FR"/>
        </w:rPr>
        <w:t>prin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reziliere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pentru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neîndeplinirea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către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părţi</w:t>
      </w:r>
      <w:proofErr w:type="spellEnd"/>
      <w:r>
        <w:rPr>
          <w:lang w:val="fr-FR"/>
        </w:rPr>
        <w:t xml:space="preserve"> a </w:t>
      </w:r>
      <w:proofErr w:type="spellStart"/>
      <w:r>
        <w:rPr>
          <w:lang w:val="fr-FR"/>
        </w:rPr>
        <w:t>o</w:t>
      </w:r>
      <w:r w:rsidR="00FC6D49">
        <w:rPr>
          <w:lang w:val="fr-FR"/>
        </w:rPr>
        <w:t>bligaţiilor</w:t>
      </w:r>
      <w:proofErr w:type="spellEnd"/>
      <w:r w:rsidR="00FC6D49">
        <w:rPr>
          <w:lang w:val="fr-FR"/>
        </w:rPr>
        <w:t xml:space="preserve"> </w:t>
      </w:r>
      <w:proofErr w:type="spellStart"/>
      <w:r w:rsidR="00FC6D49">
        <w:rPr>
          <w:lang w:val="fr-FR"/>
        </w:rPr>
        <w:t>stipulate</w:t>
      </w:r>
      <w:proofErr w:type="spellEnd"/>
      <w:r w:rsidR="00FC6D49">
        <w:rPr>
          <w:lang w:val="fr-FR"/>
        </w:rPr>
        <w:t xml:space="preserve"> </w:t>
      </w:r>
      <w:proofErr w:type="gramStart"/>
      <w:r w:rsidR="00FC6D49">
        <w:rPr>
          <w:lang w:val="fr-FR"/>
        </w:rPr>
        <w:t>la</w:t>
      </w:r>
      <w:proofErr w:type="gramEnd"/>
      <w:r w:rsidR="00FC6D49">
        <w:rPr>
          <w:lang w:val="fr-FR"/>
        </w:rPr>
        <w:t xml:space="preserve"> art. 5</w:t>
      </w:r>
      <w:r>
        <w:rPr>
          <w:lang w:val="fr-FR"/>
        </w:rPr>
        <w:t>.</w:t>
      </w:r>
    </w:p>
    <w:p w:rsidR="00C75C15" w:rsidRDefault="00F85B59" w:rsidP="00C75C15">
      <w:pPr>
        <w:jc w:val="both"/>
        <w:rPr>
          <w:color w:val="000000"/>
        </w:rPr>
      </w:pPr>
      <w:r>
        <w:rPr>
          <w:b/>
          <w:bCs/>
          <w:color w:val="000000"/>
        </w:rPr>
        <w:t xml:space="preserve">          </w:t>
      </w:r>
      <w:r w:rsidR="00C75C15">
        <w:rPr>
          <w:color w:val="000000"/>
        </w:rPr>
        <w:t>La finalizarea sălii polivalente se va încheia un protocol de administrare între cele două părţi contractante care va stabili condiţiile de folosire a sălii, conform cotelor de proprietate;</w:t>
      </w:r>
    </w:p>
    <w:p w:rsidR="00C75C15" w:rsidRDefault="00F85B59" w:rsidP="00C75C15">
      <w:pPr>
        <w:jc w:val="both"/>
        <w:rPr>
          <w:color w:val="000000"/>
        </w:rPr>
      </w:pPr>
      <w:r>
        <w:rPr>
          <w:b/>
          <w:bCs/>
          <w:color w:val="000000"/>
        </w:rPr>
        <w:t xml:space="preserve">          </w:t>
      </w:r>
      <w:r w:rsidR="00C75C15">
        <w:rPr>
          <w:color w:val="000000"/>
        </w:rPr>
        <w:t>Procedurile de achiziţie publică prevăzute în O.U.G nr. 34/2006 (republicată), privind atribuirea contractelor de achiziţie publică şi  H.G nr. 925/2006, pentru aprobarea normelor de aplicare referitoare la atribuirea contractelor de achiziţie publică, revin Universităţii „Politehnica” din Timişoara;</w:t>
      </w:r>
    </w:p>
    <w:p w:rsidR="00C75C15" w:rsidRDefault="00F85B59" w:rsidP="00C75C15">
      <w:pPr>
        <w:jc w:val="both"/>
        <w:rPr>
          <w:color w:val="000000"/>
        </w:rPr>
      </w:pPr>
      <w:r>
        <w:rPr>
          <w:color w:val="000000"/>
        </w:rPr>
        <w:t xml:space="preserve">          S-a convenit ca </w:t>
      </w:r>
      <w:r w:rsidR="00C75C15">
        <w:rPr>
          <w:color w:val="000000"/>
        </w:rPr>
        <w:t>Municipiul Timişo</w:t>
      </w:r>
      <w:r>
        <w:rPr>
          <w:color w:val="000000"/>
        </w:rPr>
        <w:t>ara să desemneze un reprezentant î</w:t>
      </w:r>
      <w:r w:rsidR="00C75C15">
        <w:rPr>
          <w:color w:val="000000"/>
        </w:rPr>
        <w:t>n comisia de licitatie pentru atribuirea contractelor de achizi</w:t>
      </w:r>
      <w:r w:rsidR="00C439A6">
        <w:rPr>
          <w:color w:val="000000"/>
        </w:rPr>
        <w:t>tie publică</w:t>
      </w:r>
      <w:r w:rsidR="00C75C15">
        <w:rPr>
          <w:color w:val="000000"/>
        </w:rPr>
        <w:t xml:space="preserve">, proceduri care vor </w:t>
      </w:r>
      <w:r w:rsidR="00C439A6">
        <w:rPr>
          <w:color w:val="000000"/>
        </w:rPr>
        <w:t>fi derulate la o data ulterioară</w:t>
      </w:r>
      <w:r w:rsidR="00142A88">
        <w:rPr>
          <w:color w:val="000000"/>
        </w:rPr>
        <w:t xml:space="preserve"> semnă</w:t>
      </w:r>
      <w:r w:rsidR="00C75C15">
        <w:rPr>
          <w:color w:val="000000"/>
        </w:rPr>
        <w:t>rii prezentului contract.</w:t>
      </w:r>
    </w:p>
    <w:p w:rsidR="00C75C15" w:rsidRDefault="00C75C15" w:rsidP="00C75C15">
      <w:pPr>
        <w:jc w:val="both"/>
        <w:rPr>
          <w:color w:val="000000"/>
        </w:rPr>
      </w:pPr>
      <w:r>
        <w:rPr>
          <w:color w:val="000000"/>
        </w:rPr>
        <w:t xml:space="preserve">       </w:t>
      </w:r>
      <w:r w:rsidR="00F85B59">
        <w:rPr>
          <w:b/>
          <w:bCs/>
          <w:color w:val="000000"/>
        </w:rPr>
        <w:t xml:space="preserve">   </w:t>
      </w:r>
      <w:r>
        <w:rPr>
          <w:color w:val="000000"/>
        </w:rPr>
        <w:t>Municipiul Timişoara va desemna un expert UNEAR care să evalueze stadiul fizic şi valoarea construcţiei la zi.</w:t>
      </w:r>
    </w:p>
    <w:p w:rsidR="00C75C15" w:rsidRDefault="00F85B59" w:rsidP="00C75C15">
      <w:pPr>
        <w:jc w:val="both"/>
        <w:rPr>
          <w:color w:val="000000"/>
        </w:rPr>
      </w:pPr>
      <w:r>
        <w:rPr>
          <w:b/>
          <w:bCs/>
          <w:color w:val="000000"/>
        </w:rPr>
        <w:t xml:space="preserve">   </w:t>
      </w:r>
      <w:r w:rsidRPr="001A5E7C">
        <w:rPr>
          <w:bCs/>
          <w:color w:val="000000"/>
        </w:rPr>
        <w:t xml:space="preserve">       </w:t>
      </w:r>
      <w:r w:rsidR="001A5E7C" w:rsidRPr="001A5E7C">
        <w:rPr>
          <w:bCs/>
          <w:color w:val="000000"/>
        </w:rPr>
        <w:t>De asemenea</w:t>
      </w:r>
      <w:r w:rsidR="001A5E7C">
        <w:rPr>
          <w:bCs/>
          <w:color w:val="000000"/>
        </w:rPr>
        <w:t>, s-a stabilit de comun acord că</w:t>
      </w:r>
      <w:r w:rsidR="00136E51">
        <w:rPr>
          <w:bCs/>
          <w:color w:val="000000"/>
        </w:rPr>
        <w:t>,</w:t>
      </w:r>
      <w:r w:rsidR="001A5E7C" w:rsidRPr="001A5E7C">
        <w:rPr>
          <w:bCs/>
          <w:color w:val="000000"/>
        </w:rPr>
        <w:t xml:space="preserve"> </w:t>
      </w:r>
      <w:r w:rsidR="00C439A6">
        <w:rPr>
          <w:color w:val="000000"/>
        </w:rPr>
        <w:t>Municipiul Timisoara va avea î</w:t>
      </w:r>
      <w:r w:rsidR="00514A7E">
        <w:rPr>
          <w:color w:val="000000"/>
        </w:rPr>
        <w:t>n componenţa</w:t>
      </w:r>
      <w:r w:rsidR="00C75C15">
        <w:rPr>
          <w:color w:val="000000"/>
        </w:rPr>
        <w:t xml:space="preserve"> comisiei de receptie a obiectivului de investitii pe rep</w:t>
      </w:r>
      <w:r w:rsidR="001A5E7C">
        <w:rPr>
          <w:color w:val="000000"/>
        </w:rPr>
        <w:t>rezentantul tehnic care avizează documentatia tehnică de executie a lucră</w:t>
      </w:r>
      <w:r w:rsidR="00C75C15">
        <w:rPr>
          <w:color w:val="000000"/>
        </w:rPr>
        <w:t>rilor si pe repre</w:t>
      </w:r>
      <w:r w:rsidR="00136E51">
        <w:rPr>
          <w:color w:val="000000"/>
        </w:rPr>
        <w:t>zentantul din comisia de licitaţ</w:t>
      </w:r>
      <w:r w:rsidR="00C75C15">
        <w:rPr>
          <w:color w:val="000000"/>
        </w:rPr>
        <w:t>ie pentru atribuirea contractelor d</w:t>
      </w:r>
      <w:r w:rsidR="001A5E7C">
        <w:rPr>
          <w:color w:val="000000"/>
        </w:rPr>
        <w:t>e achizitie publică</w:t>
      </w:r>
      <w:r w:rsidR="00C75C15">
        <w:rPr>
          <w:color w:val="000000"/>
        </w:rPr>
        <w:t>.</w:t>
      </w:r>
    </w:p>
    <w:p w:rsidR="00C75C15" w:rsidRDefault="00C75C15" w:rsidP="00C75C15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</w:t>
      </w:r>
      <w:r w:rsidR="00F85B59">
        <w:rPr>
          <w:b/>
          <w:bCs/>
          <w:color w:val="000000"/>
        </w:rPr>
        <w:t xml:space="preserve">    </w:t>
      </w:r>
      <w:r w:rsidR="00F85B59">
        <w:rPr>
          <w:color w:val="000000"/>
        </w:rPr>
        <w:t>Ieşirea din indiviziune se va putea realiza</w:t>
      </w:r>
      <w:r>
        <w:rPr>
          <w:color w:val="000000"/>
        </w:rPr>
        <w:t xml:space="preserve"> doar cu acordul ambelor părţi. </w:t>
      </w:r>
      <w:r>
        <w:rPr>
          <w:b/>
          <w:bCs/>
          <w:color w:val="000000"/>
        </w:rPr>
        <w:t xml:space="preserve"> </w:t>
      </w:r>
    </w:p>
    <w:p w:rsidR="00C75C15" w:rsidRDefault="00F85B59" w:rsidP="00C75C15">
      <w:pPr>
        <w:jc w:val="both"/>
        <w:rPr>
          <w:color w:val="000000"/>
        </w:rPr>
      </w:pPr>
      <w:r>
        <w:rPr>
          <w:b/>
          <w:bCs/>
          <w:color w:val="000000"/>
        </w:rPr>
        <w:t xml:space="preserve">           </w:t>
      </w:r>
      <w:r w:rsidR="00C75C15">
        <w:rPr>
          <w:color w:val="000000"/>
        </w:rPr>
        <w:t>Niciuna dintre cele două instituţii nu va avea dreptul să-şi vândă dreptul cota - parte de proprietate sau vreo cotă – parte din ea către o terţă parte, ci doar către instituţia parteneră.</w:t>
      </w:r>
    </w:p>
    <w:p w:rsidR="006E1D49" w:rsidRDefault="006E1D49" w:rsidP="00C75C15">
      <w:pPr>
        <w:jc w:val="both"/>
        <w:rPr>
          <w:color w:val="000000"/>
        </w:rPr>
      </w:pPr>
      <w:r>
        <w:rPr>
          <w:color w:val="000000"/>
        </w:rPr>
        <w:t xml:space="preserve">           Prezentul proces – verbal s-a încheiat în două exemplare, câte unul pentru fiecare parte.</w:t>
      </w:r>
    </w:p>
    <w:p w:rsidR="00C75C15" w:rsidRDefault="00C75C15" w:rsidP="00C75C15">
      <w:pPr>
        <w:jc w:val="both"/>
      </w:pPr>
    </w:p>
    <w:tbl>
      <w:tblPr>
        <w:tblW w:w="0" w:type="auto"/>
        <w:jc w:val="center"/>
        <w:tblLook w:val="01E0"/>
      </w:tblPr>
      <w:tblGrid>
        <w:gridCol w:w="4788"/>
        <w:gridCol w:w="4788"/>
      </w:tblGrid>
      <w:tr w:rsidR="00C75C15" w:rsidTr="00280395">
        <w:trPr>
          <w:trHeight w:val="1008"/>
          <w:jc w:val="center"/>
        </w:trPr>
        <w:tc>
          <w:tcPr>
            <w:tcW w:w="4788" w:type="dxa"/>
            <w:hideMark/>
          </w:tcPr>
          <w:p w:rsidR="00C75C15" w:rsidRDefault="00C75C15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MUNICIPIUL TIMISOARA</w:t>
            </w:r>
          </w:p>
          <w:p w:rsidR="00F85B59" w:rsidRDefault="00F85B59">
            <w:pPr>
              <w:spacing w:line="276" w:lineRule="auto"/>
              <w:jc w:val="center"/>
              <w:rPr>
                <w:lang w:val="pt-BR"/>
              </w:rPr>
            </w:pPr>
          </w:p>
          <w:p w:rsidR="00F85B59" w:rsidRDefault="00F85B59">
            <w:pPr>
              <w:spacing w:line="276" w:lineRule="auto"/>
              <w:jc w:val="center"/>
            </w:pPr>
          </w:p>
        </w:tc>
        <w:tc>
          <w:tcPr>
            <w:tcW w:w="4788" w:type="dxa"/>
            <w:hideMark/>
          </w:tcPr>
          <w:p w:rsidR="00C75C15" w:rsidRDefault="00C75C15">
            <w:pPr>
              <w:spacing w:line="276" w:lineRule="auto"/>
              <w:jc w:val="center"/>
            </w:pPr>
            <w:r>
              <w:rPr>
                <w:lang w:val="pt-BR"/>
              </w:rPr>
              <w:t>UNIVERSITATEA POLITEHNICA DIN TIMIŞOARA</w:t>
            </w:r>
          </w:p>
        </w:tc>
      </w:tr>
      <w:tr w:rsidR="00F85B59" w:rsidTr="00C75C15">
        <w:trPr>
          <w:jc w:val="center"/>
        </w:trPr>
        <w:tc>
          <w:tcPr>
            <w:tcW w:w="4788" w:type="dxa"/>
            <w:hideMark/>
          </w:tcPr>
          <w:p w:rsidR="00F85B59" w:rsidRDefault="00F85B59" w:rsidP="00514DB0">
            <w:pPr>
              <w:spacing w:line="276" w:lineRule="auto"/>
              <w:jc w:val="center"/>
            </w:pPr>
            <w:r>
              <w:rPr>
                <w:lang w:val="fr-FR"/>
              </w:rPr>
              <w:t>DIRECTIA INSTITUTII ŞCOLARE, MEDICALE, SPORTIVE SI CULTURALE,</w:t>
            </w:r>
          </w:p>
        </w:tc>
        <w:tc>
          <w:tcPr>
            <w:tcW w:w="4788" w:type="dxa"/>
            <w:hideMark/>
          </w:tcPr>
          <w:p w:rsidR="00F85B59" w:rsidRDefault="00F85B59" w:rsidP="00514DB0">
            <w:pPr>
              <w:spacing w:line="276" w:lineRule="auto"/>
              <w:jc w:val="center"/>
            </w:pPr>
            <w:r>
              <w:rPr>
                <w:lang w:val="pt-BR"/>
              </w:rPr>
              <w:t>DIRECTOR GENERAL ADMINISTRATIV</w:t>
            </w:r>
            <w:r>
              <w:t>,</w:t>
            </w:r>
          </w:p>
        </w:tc>
      </w:tr>
      <w:tr w:rsidR="00F85B59" w:rsidTr="00C75C15">
        <w:trPr>
          <w:jc w:val="center"/>
        </w:trPr>
        <w:tc>
          <w:tcPr>
            <w:tcW w:w="4788" w:type="dxa"/>
            <w:hideMark/>
          </w:tcPr>
          <w:p w:rsidR="00F85B59" w:rsidRDefault="00F85B59" w:rsidP="00514DB0">
            <w:pPr>
              <w:spacing w:line="276" w:lineRule="auto"/>
              <w:jc w:val="center"/>
            </w:pPr>
            <w:proofErr w:type="spellStart"/>
            <w:r>
              <w:rPr>
                <w:lang w:val="fr-FR"/>
              </w:rPr>
              <w:t>Mihai</w:t>
            </w:r>
            <w:proofErr w:type="spellEnd"/>
            <w:r>
              <w:rPr>
                <w:lang w:val="fr-FR"/>
              </w:rPr>
              <w:t xml:space="preserve"> COSTA</w:t>
            </w:r>
          </w:p>
        </w:tc>
        <w:tc>
          <w:tcPr>
            <w:tcW w:w="4788" w:type="dxa"/>
            <w:hideMark/>
          </w:tcPr>
          <w:p w:rsidR="00F85B59" w:rsidRDefault="00F85B59" w:rsidP="00514DB0">
            <w:pPr>
              <w:spacing w:line="276" w:lineRule="auto"/>
              <w:jc w:val="center"/>
            </w:pPr>
            <w:r>
              <w:t>Dr. ing. Florenţiu STAICU</w:t>
            </w:r>
          </w:p>
        </w:tc>
      </w:tr>
      <w:tr w:rsidR="00F85B59" w:rsidTr="00C75C15">
        <w:trPr>
          <w:jc w:val="center"/>
        </w:trPr>
        <w:tc>
          <w:tcPr>
            <w:tcW w:w="4788" w:type="dxa"/>
          </w:tcPr>
          <w:p w:rsidR="00F85B59" w:rsidRDefault="00F85B59">
            <w:pPr>
              <w:spacing w:line="276" w:lineRule="auto"/>
              <w:jc w:val="center"/>
            </w:pPr>
          </w:p>
        </w:tc>
        <w:tc>
          <w:tcPr>
            <w:tcW w:w="4788" w:type="dxa"/>
          </w:tcPr>
          <w:p w:rsidR="00F85B59" w:rsidRDefault="00F85B59" w:rsidP="00514DB0">
            <w:pPr>
              <w:spacing w:line="276" w:lineRule="auto"/>
              <w:jc w:val="center"/>
            </w:pPr>
          </w:p>
        </w:tc>
      </w:tr>
      <w:tr w:rsidR="00F85B59" w:rsidTr="00C75C15">
        <w:trPr>
          <w:jc w:val="center"/>
        </w:trPr>
        <w:tc>
          <w:tcPr>
            <w:tcW w:w="4788" w:type="dxa"/>
            <w:hideMark/>
          </w:tcPr>
          <w:p w:rsidR="00F85B59" w:rsidRDefault="00F85B59" w:rsidP="00F85B59">
            <w:pPr>
              <w:spacing w:line="276" w:lineRule="auto"/>
            </w:pPr>
          </w:p>
        </w:tc>
        <w:tc>
          <w:tcPr>
            <w:tcW w:w="4788" w:type="dxa"/>
            <w:hideMark/>
          </w:tcPr>
          <w:p w:rsidR="00F85B59" w:rsidRDefault="00F85B59">
            <w:pPr>
              <w:spacing w:line="276" w:lineRule="auto"/>
              <w:jc w:val="center"/>
            </w:pPr>
          </w:p>
        </w:tc>
      </w:tr>
      <w:tr w:rsidR="00F85B59" w:rsidTr="00C75C15">
        <w:trPr>
          <w:jc w:val="center"/>
        </w:trPr>
        <w:tc>
          <w:tcPr>
            <w:tcW w:w="4788" w:type="dxa"/>
            <w:hideMark/>
          </w:tcPr>
          <w:p w:rsidR="00F85B59" w:rsidRDefault="00F85B59">
            <w:pPr>
              <w:spacing w:line="276" w:lineRule="auto"/>
              <w:jc w:val="center"/>
            </w:pPr>
          </w:p>
        </w:tc>
        <w:tc>
          <w:tcPr>
            <w:tcW w:w="4788" w:type="dxa"/>
            <w:hideMark/>
          </w:tcPr>
          <w:p w:rsidR="00F85B59" w:rsidRDefault="00F85B59">
            <w:pPr>
              <w:spacing w:line="276" w:lineRule="auto"/>
              <w:jc w:val="center"/>
            </w:pPr>
          </w:p>
        </w:tc>
      </w:tr>
      <w:tr w:rsidR="00F85B59" w:rsidTr="00C75C15">
        <w:trPr>
          <w:jc w:val="center"/>
        </w:trPr>
        <w:tc>
          <w:tcPr>
            <w:tcW w:w="4788" w:type="dxa"/>
          </w:tcPr>
          <w:p w:rsidR="00F85B59" w:rsidRDefault="00F85B59">
            <w:pPr>
              <w:spacing w:line="276" w:lineRule="auto"/>
              <w:jc w:val="center"/>
            </w:pPr>
          </w:p>
          <w:p w:rsidR="00F85B59" w:rsidRDefault="00F85B59">
            <w:pPr>
              <w:spacing w:line="276" w:lineRule="auto"/>
              <w:jc w:val="center"/>
            </w:pPr>
            <w:r>
              <w:t>CONSILIER,</w:t>
            </w:r>
          </w:p>
        </w:tc>
        <w:tc>
          <w:tcPr>
            <w:tcW w:w="4788" w:type="dxa"/>
          </w:tcPr>
          <w:p w:rsidR="00280395" w:rsidRDefault="00F85B59" w:rsidP="00280395">
            <w:pPr>
              <w:spacing w:line="276" w:lineRule="auto"/>
              <w:jc w:val="center"/>
            </w:pPr>
            <w:r>
              <w:t>DIRECTOR FINANCIAR CONTABIL,</w:t>
            </w:r>
          </w:p>
        </w:tc>
      </w:tr>
      <w:tr w:rsidR="00F85B59" w:rsidTr="00C75C15">
        <w:trPr>
          <w:jc w:val="center"/>
        </w:trPr>
        <w:tc>
          <w:tcPr>
            <w:tcW w:w="4788" w:type="dxa"/>
            <w:hideMark/>
          </w:tcPr>
          <w:p w:rsidR="00F85B59" w:rsidRDefault="003D1956">
            <w:pPr>
              <w:spacing w:line="276" w:lineRule="auto"/>
              <w:jc w:val="center"/>
            </w:pPr>
            <w:r>
              <w:t>Ion</w:t>
            </w:r>
            <w:r w:rsidR="00F85B59">
              <w:t xml:space="preserve"> CRAŞOVAN</w:t>
            </w:r>
          </w:p>
        </w:tc>
        <w:tc>
          <w:tcPr>
            <w:tcW w:w="4788" w:type="dxa"/>
            <w:hideMark/>
          </w:tcPr>
          <w:p w:rsidR="00F85B59" w:rsidRDefault="00F85B59">
            <w:pPr>
              <w:spacing w:line="276" w:lineRule="auto"/>
              <w:jc w:val="center"/>
            </w:pPr>
            <w:r>
              <w:t>ec. Florian MICLEA</w:t>
            </w:r>
          </w:p>
          <w:p w:rsidR="00280395" w:rsidRDefault="00280395">
            <w:pPr>
              <w:spacing w:line="276" w:lineRule="auto"/>
              <w:jc w:val="center"/>
            </w:pPr>
          </w:p>
          <w:p w:rsidR="00280395" w:rsidRDefault="00280395">
            <w:pPr>
              <w:spacing w:line="276" w:lineRule="auto"/>
              <w:jc w:val="center"/>
            </w:pPr>
            <w:r>
              <w:t>ŞEF SERVICII ACHIZIŢII PUBLICE</w:t>
            </w:r>
          </w:p>
          <w:p w:rsidR="00280395" w:rsidRDefault="00280395">
            <w:pPr>
              <w:spacing w:line="276" w:lineRule="auto"/>
              <w:jc w:val="center"/>
            </w:pPr>
            <w:r>
              <w:t>Dana SUBA</w:t>
            </w:r>
          </w:p>
        </w:tc>
      </w:tr>
      <w:tr w:rsidR="00F85B59" w:rsidTr="00C75C15">
        <w:trPr>
          <w:jc w:val="center"/>
        </w:trPr>
        <w:tc>
          <w:tcPr>
            <w:tcW w:w="4788" w:type="dxa"/>
            <w:hideMark/>
          </w:tcPr>
          <w:p w:rsidR="00F85B59" w:rsidRDefault="00F85B59">
            <w:pPr>
              <w:spacing w:line="276" w:lineRule="auto"/>
              <w:jc w:val="center"/>
            </w:pPr>
          </w:p>
        </w:tc>
        <w:tc>
          <w:tcPr>
            <w:tcW w:w="4788" w:type="dxa"/>
            <w:hideMark/>
          </w:tcPr>
          <w:p w:rsidR="00F85B59" w:rsidRDefault="00F85B59">
            <w:pPr>
              <w:spacing w:line="276" w:lineRule="auto"/>
              <w:jc w:val="center"/>
            </w:pPr>
          </w:p>
        </w:tc>
      </w:tr>
      <w:tr w:rsidR="00F85B59" w:rsidTr="00C75C15">
        <w:trPr>
          <w:jc w:val="center"/>
        </w:trPr>
        <w:tc>
          <w:tcPr>
            <w:tcW w:w="4788" w:type="dxa"/>
          </w:tcPr>
          <w:p w:rsidR="00F85B59" w:rsidRDefault="00F85B59">
            <w:pPr>
              <w:spacing w:line="276" w:lineRule="auto"/>
              <w:jc w:val="center"/>
            </w:pPr>
          </w:p>
          <w:p w:rsidR="00F85B59" w:rsidRDefault="00F85B59">
            <w:pPr>
              <w:spacing w:line="276" w:lineRule="auto"/>
              <w:jc w:val="center"/>
            </w:pPr>
          </w:p>
        </w:tc>
        <w:tc>
          <w:tcPr>
            <w:tcW w:w="4788" w:type="dxa"/>
          </w:tcPr>
          <w:p w:rsidR="00F85B59" w:rsidRDefault="00F85B59">
            <w:pPr>
              <w:spacing w:line="276" w:lineRule="auto"/>
              <w:jc w:val="center"/>
            </w:pPr>
          </w:p>
        </w:tc>
      </w:tr>
      <w:tr w:rsidR="00F85B59" w:rsidTr="00C75C15">
        <w:trPr>
          <w:jc w:val="center"/>
        </w:trPr>
        <w:tc>
          <w:tcPr>
            <w:tcW w:w="4788" w:type="dxa"/>
            <w:hideMark/>
          </w:tcPr>
          <w:p w:rsidR="00F85B59" w:rsidRDefault="00F85B59">
            <w:pPr>
              <w:spacing w:line="276" w:lineRule="auto"/>
              <w:jc w:val="center"/>
            </w:pPr>
            <w:r>
              <w:rPr>
                <w:lang w:val="fr-FR"/>
              </w:rPr>
              <w:t>CONSILIER JURIDIC,</w:t>
            </w:r>
          </w:p>
        </w:tc>
        <w:tc>
          <w:tcPr>
            <w:tcW w:w="4788" w:type="dxa"/>
            <w:hideMark/>
          </w:tcPr>
          <w:p w:rsidR="00F85B59" w:rsidRDefault="00F85B59">
            <w:pPr>
              <w:spacing w:line="276" w:lineRule="auto"/>
              <w:jc w:val="center"/>
            </w:pPr>
            <w:r>
              <w:rPr>
                <w:lang w:val="fr-FR"/>
              </w:rPr>
              <w:t>CONSILIER JURIDIC,</w:t>
            </w:r>
          </w:p>
        </w:tc>
      </w:tr>
    </w:tbl>
    <w:p w:rsidR="003F16FC" w:rsidRDefault="00F85B59">
      <w:r>
        <w:t xml:space="preserve">                     Cristian MARCHIŞ                                                Constantin ALECSA</w:t>
      </w:r>
    </w:p>
    <w:sectPr w:rsidR="003F16FC" w:rsidSect="003F16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/>
  <w:rsids>
    <w:rsidRoot w:val="00C75C15"/>
    <w:rsid w:val="00136E51"/>
    <w:rsid w:val="00142A88"/>
    <w:rsid w:val="001A5E7C"/>
    <w:rsid w:val="00280395"/>
    <w:rsid w:val="003D1956"/>
    <w:rsid w:val="003F16FC"/>
    <w:rsid w:val="00514A7E"/>
    <w:rsid w:val="00650884"/>
    <w:rsid w:val="006E1D49"/>
    <w:rsid w:val="006E4D28"/>
    <w:rsid w:val="00855276"/>
    <w:rsid w:val="00C361AD"/>
    <w:rsid w:val="00C439A6"/>
    <w:rsid w:val="00C75C15"/>
    <w:rsid w:val="00DE3C69"/>
    <w:rsid w:val="00DF2F4B"/>
    <w:rsid w:val="00E51B2F"/>
    <w:rsid w:val="00F85B59"/>
    <w:rsid w:val="00FC6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C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1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5977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cmarchis</dc:creator>
  <cp:keywords/>
  <dc:description/>
  <cp:lastModifiedBy>cmarchis</cp:lastModifiedBy>
  <cp:revision>15</cp:revision>
  <cp:lastPrinted>2013-03-26T09:35:00Z</cp:lastPrinted>
  <dcterms:created xsi:type="dcterms:W3CDTF">2013-03-26T09:05:00Z</dcterms:created>
  <dcterms:modified xsi:type="dcterms:W3CDTF">2013-03-26T10:09:00Z</dcterms:modified>
</cp:coreProperties>
</file>