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E2" w:rsidRDefault="00DE19E2" w:rsidP="00F064AE">
      <w:pPr>
        <w:autoSpaceDE w:val="0"/>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PARTEA II. </w:t>
      </w:r>
    </w:p>
    <w:p w:rsidR="00DE19E2" w:rsidRDefault="00DE19E2" w:rsidP="00F064AE">
      <w:pPr>
        <w:autoSpaceDE w:val="0"/>
        <w:spacing w:after="0" w:line="240" w:lineRule="auto"/>
        <w:jc w:val="center"/>
        <w:rPr>
          <w:rFonts w:ascii="Times New Roman" w:hAnsi="Times New Roman" w:cs="Times New Roman"/>
          <w:b/>
          <w:sz w:val="28"/>
          <w:szCs w:val="28"/>
          <w:lang w:val="fr-FR"/>
        </w:rPr>
      </w:pPr>
    </w:p>
    <w:p w:rsidR="00041016" w:rsidRPr="006862AA" w:rsidRDefault="00F45E22" w:rsidP="00F064AE">
      <w:pPr>
        <w:autoSpaceDE w:val="0"/>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Cap. 4</w:t>
      </w:r>
      <w:r w:rsidR="00F632D7">
        <w:rPr>
          <w:rFonts w:ascii="Times New Roman" w:hAnsi="Times New Roman" w:cs="Times New Roman"/>
          <w:b/>
          <w:sz w:val="28"/>
          <w:szCs w:val="28"/>
          <w:lang w:val="fr-FR"/>
        </w:rPr>
        <w:t xml:space="preserve"> </w:t>
      </w:r>
      <w:r w:rsidR="0041427F">
        <w:rPr>
          <w:rFonts w:ascii="Times New Roman" w:hAnsi="Times New Roman" w:cs="Times New Roman"/>
          <w:b/>
          <w:sz w:val="28"/>
          <w:szCs w:val="28"/>
          <w:lang w:val="fr-FR"/>
        </w:rPr>
        <w:t>Analiza diagnostic</w:t>
      </w:r>
    </w:p>
    <w:p w:rsidR="00041016" w:rsidRPr="006862AA" w:rsidRDefault="00041016" w:rsidP="00F064AE">
      <w:pPr>
        <w:autoSpaceDE w:val="0"/>
        <w:spacing w:after="0" w:line="240" w:lineRule="auto"/>
        <w:jc w:val="center"/>
        <w:rPr>
          <w:rFonts w:ascii="Times New Roman" w:hAnsi="Times New Roman" w:cs="Times New Roman"/>
          <w:b/>
          <w:lang w:val="fr-FR"/>
        </w:rPr>
      </w:pPr>
    </w:p>
    <w:p w:rsidR="00F064AE" w:rsidRPr="0088718C" w:rsidRDefault="00F31C37" w:rsidP="00041016">
      <w:pPr>
        <w:pStyle w:val="ListParagraph"/>
        <w:numPr>
          <w:ilvl w:val="0"/>
          <w:numId w:val="1"/>
        </w:numPr>
        <w:autoSpaceDE w:val="0"/>
        <w:spacing w:after="0" w:line="240" w:lineRule="auto"/>
        <w:jc w:val="center"/>
        <w:rPr>
          <w:rFonts w:ascii="Times New Roman" w:hAnsi="Times New Roman" w:cs="Times New Roman"/>
          <w:b/>
          <w:u w:val="single"/>
          <w:lang w:val="fr-FR"/>
        </w:rPr>
      </w:pPr>
      <w:r w:rsidRPr="0088718C">
        <w:rPr>
          <w:rFonts w:ascii="Times New Roman" w:hAnsi="Times New Roman" w:cs="Times New Roman"/>
          <w:b/>
          <w:u w:val="single"/>
          <w:lang w:val="fr-FR"/>
        </w:rPr>
        <w:t>POPULAȚIE</w:t>
      </w:r>
    </w:p>
    <w:p w:rsidR="00F064AE" w:rsidRPr="006862AA" w:rsidRDefault="00F064AE" w:rsidP="00F064AE">
      <w:pPr>
        <w:autoSpaceDE w:val="0"/>
        <w:spacing w:after="0" w:line="240" w:lineRule="auto"/>
        <w:jc w:val="center"/>
        <w:rPr>
          <w:rFonts w:ascii="Times New Roman" w:hAnsi="Times New Roman" w:cs="Times New Roman"/>
          <w:b/>
          <w:lang w:val="fr-FR"/>
        </w:rPr>
      </w:pPr>
    </w:p>
    <w:p w:rsidR="00F064AE" w:rsidRPr="00F632D7" w:rsidRDefault="00F064AE" w:rsidP="006257CA">
      <w:pPr>
        <w:spacing w:after="0" w:line="240" w:lineRule="auto"/>
        <w:ind w:firstLine="567"/>
        <w:jc w:val="both"/>
        <w:rPr>
          <w:rFonts w:ascii="Times New Roman" w:hAnsi="Times New Roman" w:cs="Times New Roman"/>
          <w:lang w:val="fr-FR"/>
        </w:rPr>
      </w:pPr>
      <w:r w:rsidRPr="006862AA">
        <w:rPr>
          <w:rFonts w:ascii="Times New Roman" w:hAnsi="Times New Roman" w:cs="Times New Roman"/>
          <w:lang w:val="fr-FR"/>
        </w:rPr>
        <w:t>Componenta demografică a unui spațiu este, prin structura și dinamica sa, un element cu mare putere de diagnoză asu</w:t>
      </w:r>
      <w:r w:rsidRPr="00F632D7">
        <w:rPr>
          <w:rFonts w:ascii="Times New Roman" w:hAnsi="Times New Roman" w:cs="Times New Roman"/>
          <w:lang w:val="fr-FR"/>
        </w:rPr>
        <w:t>pra complexului socio-teritorial considerat, pentru că reflectă starea și evoluția unui întreg set de factori interni și externi, obiectivi și subiectivi, față de care populația este sensibilă și reactivă.</w:t>
      </w:r>
    </w:p>
    <w:p w:rsidR="00041016" w:rsidRPr="00F632D7" w:rsidRDefault="00041016" w:rsidP="006257CA">
      <w:pPr>
        <w:spacing w:after="0" w:line="240" w:lineRule="auto"/>
        <w:ind w:firstLine="567"/>
        <w:jc w:val="both"/>
        <w:rPr>
          <w:rFonts w:ascii="Times New Roman" w:hAnsi="Times New Roman" w:cs="Times New Roman"/>
          <w:lang w:val="fr-FR"/>
        </w:rPr>
      </w:pPr>
    </w:p>
    <w:p w:rsidR="00041016" w:rsidRPr="000A18FF" w:rsidRDefault="00041016" w:rsidP="006257CA">
      <w:pPr>
        <w:pStyle w:val="ListParagraph"/>
        <w:numPr>
          <w:ilvl w:val="1"/>
          <w:numId w:val="1"/>
        </w:numPr>
        <w:spacing w:after="0" w:line="240" w:lineRule="auto"/>
        <w:jc w:val="both"/>
        <w:rPr>
          <w:rFonts w:ascii="Times New Roman" w:hAnsi="Times New Roman" w:cs="Times New Roman"/>
          <w:b/>
        </w:rPr>
      </w:pPr>
      <w:r w:rsidRPr="000A18FF">
        <w:rPr>
          <w:rFonts w:ascii="Times New Roman" w:hAnsi="Times New Roman" w:cs="Times New Roman"/>
          <w:b/>
        </w:rPr>
        <w:t>Evoluția numerică</w:t>
      </w:r>
    </w:p>
    <w:p w:rsidR="00F064AE" w:rsidRPr="000A18FF" w:rsidRDefault="00F064AE" w:rsidP="006257CA">
      <w:pPr>
        <w:spacing w:after="0" w:line="240" w:lineRule="auto"/>
        <w:ind w:firstLine="567"/>
        <w:jc w:val="both"/>
        <w:rPr>
          <w:rFonts w:ascii="Times New Roman" w:hAnsi="Times New Roman" w:cs="Times New Roman"/>
        </w:rPr>
      </w:pPr>
      <w:r w:rsidRPr="000A18FF">
        <w:rPr>
          <w:rFonts w:ascii="Times New Roman" w:hAnsi="Times New Roman" w:cs="Times New Roman"/>
        </w:rPr>
        <w:t>Evoluţia numărului de locuitori ai Polului de creştere Timişoara a avut în ansamblul său o ușoară tendință de creștere în intervalul analizat (2010-2014), contrar declinului demografic înregistrat la nivel național (-192</w:t>
      </w:r>
      <w:r w:rsidR="00151A65" w:rsidRPr="000A18FF">
        <w:rPr>
          <w:rFonts w:ascii="Times New Roman" w:hAnsi="Times New Roman" w:cs="Times New Roman"/>
        </w:rPr>
        <w:t>.</w:t>
      </w:r>
      <w:r w:rsidRPr="000A18FF">
        <w:rPr>
          <w:rFonts w:ascii="Times New Roman" w:hAnsi="Times New Roman" w:cs="Times New Roman"/>
        </w:rPr>
        <w:t>353 lo</w:t>
      </w:r>
      <w:r w:rsidR="00391EBE" w:rsidRPr="000A18FF">
        <w:rPr>
          <w:rFonts w:ascii="Times New Roman" w:hAnsi="Times New Roman" w:cs="Times New Roman"/>
        </w:rPr>
        <w:t>cuitori) și regional (Regiunea</w:t>
      </w:r>
      <w:r w:rsidRPr="000A18FF">
        <w:rPr>
          <w:rFonts w:ascii="Times New Roman" w:hAnsi="Times New Roman" w:cs="Times New Roman"/>
        </w:rPr>
        <w:t xml:space="preserve"> Vest, -20</w:t>
      </w:r>
      <w:r w:rsidR="00151A65" w:rsidRPr="000A18FF">
        <w:rPr>
          <w:rFonts w:ascii="Times New Roman" w:hAnsi="Times New Roman" w:cs="Times New Roman"/>
        </w:rPr>
        <w:t>.</w:t>
      </w:r>
      <w:r w:rsidRPr="000A18FF">
        <w:rPr>
          <w:rFonts w:ascii="Times New Roman" w:hAnsi="Times New Roman" w:cs="Times New Roman"/>
        </w:rPr>
        <w:t>615 locuitori). Creșterea s-a datorat în special valorii pozitive a bilanțului demografic natural. Dacă în anul 2010 numărul locuitorilor cu domiciliul stabil în aria polului a fost de 395</w:t>
      </w:r>
      <w:r w:rsidR="00151A65" w:rsidRPr="000A18FF">
        <w:rPr>
          <w:rFonts w:ascii="Times New Roman" w:hAnsi="Times New Roman" w:cs="Times New Roman"/>
        </w:rPr>
        <w:t>.</w:t>
      </w:r>
      <w:r w:rsidRPr="000A18FF">
        <w:rPr>
          <w:rFonts w:ascii="Times New Roman" w:hAnsi="Times New Roman" w:cs="Times New Roman"/>
        </w:rPr>
        <w:t>497, în anul 2014 acesta a crescut la 407</w:t>
      </w:r>
      <w:r w:rsidR="00151A65" w:rsidRPr="000A18FF">
        <w:rPr>
          <w:rFonts w:ascii="Times New Roman" w:hAnsi="Times New Roman" w:cs="Times New Roman"/>
        </w:rPr>
        <w:t>.</w:t>
      </w:r>
      <w:r w:rsidRPr="000A18FF">
        <w:rPr>
          <w:rFonts w:ascii="Times New Roman" w:hAnsi="Times New Roman" w:cs="Times New Roman"/>
        </w:rPr>
        <w:t>112 locuitori, respectiv cu 11615 persoane.</w:t>
      </w:r>
    </w:p>
    <w:p w:rsidR="00F064AE" w:rsidRPr="000A18FF" w:rsidRDefault="00F064AE" w:rsidP="006257CA">
      <w:pPr>
        <w:spacing w:after="0" w:line="240" w:lineRule="auto"/>
        <w:ind w:firstLine="567"/>
        <w:jc w:val="both"/>
        <w:rPr>
          <w:rStyle w:val="CaracterCaracter6"/>
          <w:rFonts w:ascii="Times New Roman" w:hAnsi="Times New Roman" w:cs="Times New Roman"/>
          <w:b w:val="0"/>
          <w:bCs w:val="0"/>
          <w:sz w:val="22"/>
          <w:szCs w:val="22"/>
          <w:lang w:val="ro-RO"/>
        </w:rPr>
      </w:pPr>
      <w:r w:rsidRPr="000A18FF">
        <w:rPr>
          <w:rStyle w:val="CaracterCaracter6"/>
          <w:rFonts w:ascii="Times New Roman" w:hAnsi="Times New Roman" w:cs="Times New Roman"/>
          <w:b w:val="0"/>
          <w:sz w:val="22"/>
          <w:szCs w:val="22"/>
          <w:lang w:val="ro-RO"/>
        </w:rPr>
        <w:t xml:space="preserve">În cadrul mediilor rezidențiale urban și rural ale polului, situația este însă diferită. Astfel, populaţia Municipiului Timişoara scade în acelaşi interval de timp de la </w:t>
      </w:r>
      <w:r w:rsidRPr="000A18FF">
        <w:rPr>
          <w:rFonts w:ascii="Times New Roman" w:hAnsi="Times New Roman" w:cs="Times New Roman"/>
          <w:lang w:val="ro-RO"/>
        </w:rPr>
        <w:t>334</w:t>
      </w:r>
      <w:r w:rsidR="00151A65" w:rsidRPr="000A18FF">
        <w:rPr>
          <w:rFonts w:ascii="Times New Roman" w:hAnsi="Times New Roman" w:cs="Times New Roman"/>
          <w:lang w:val="ro-RO"/>
        </w:rPr>
        <w:t>.</w:t>
      </w:r>
      <w:r w:rsidRPr="000A18FF">
        <w:rPr>
          <w:rFonts w:ascii="Times New Roman" w:hAnsi="Times New Roman" w:cs="Times New Roman"/>
          <w:lang w:val="ro-RO"/>
        </w:rPr>
        <w:t>720</w:t>
      </w:r>
      <w:r w:rsidRPr="000A18FF">
        <w:rPr>
          <w:rStyle w:val="CaracterCaracter6"/>
          <w:rFonts w:ascii="Times New Roman" w:hAnsi="Times New Roman" w:cs="Times New Roman"/>
          <w:b w:val="0"/>
          <w:sz w:val="22"/>
          <w:szCs w:val="22"/>
          <w:lang w:val="ro-RO"/>
        </w:rPr>
        <w:t xml:space="preserve"> locuitori, la </w:t>
      </w:r>
      <w:r w:rsidRPr="000A18FF">
        <w:rPr>
          <w:rFonts w:ascii="Times New Roman" w:hAnsi="Times New Roman" w:cs="Times New Roman"/>
          <w:lang w:val="ro-RO"/>
        </w:rPr>
        <w:t>333</w:t>
      </w:r>
      <w:r w:rsidR="00151A65" w:rsidRPr="000A18FF">
        <w:rPr>
          <w:rFonts w:ascii="Times New Roman" w:hAnsi="Times New Roman" w:cs="Times New Roman"/>
          <w:lang w:val="ro-RO"/>
        </w:rPr>
        <w:t>.</w:t>
      </w:r>
      <w:r w:rsidRPr="000A18FF">
        <w:rPr>
          <w:rFonts w:ascii="Times New Roman" w:hAnsi="Times New Roman" w:cs="Times New Roman"/>
          <w:lang w:val="ro-RO"/>
        </w:rPr>
        <w:t>531</w:t>
      </w:r>
      <w:r w:rsidRPr="000A18FF">
        <w:rPr>
          <w:rStyle w:val="CaracterCaracter6"/>
          <w:rFonts w:ascii="Times New Roman" w:hAnsi="Times New Roman" w:cs="Times New Roman"/>
          <w:b w:val="0"/>
          <w:sz w:val="22"/>
          <w:szCs w:val="22"/>
          <w:lang w:val="ro-RO"/>
        </w:rPr>
        <w:t xml:space="preserve"> locuitori, adică cu 1</w:t>
      </w:r>
      <w:r w:rsidR="00151A65" w:rsidRPr="000A18FF">
        <w:rPr>
          <w:rStyle w:val="CaracterCaracter6"/>
          <w:rFonts w:ascii="Times New Roman" w:hAnsi="Times New Roman" w:cs="Times New Roman"/>
          <w:b w:val="0"/>
          <w:sz w:val="22"/>
          <w:szCs w:val="22"/>
          <w:lang w:val="ro-RO"/>
        </w:rPr>
        <w:t>.</w:t>
      </w:r>
      <w:r w:rsidRPr="000A18FF">
        <w:rPr>
          <w:rStyle w:val="CaracterCaracter6"/>
          <w:rFonts w:ascii="Times New Roman" w:hAnsi="Times New Roman" w:cs="Times New Roman"/>
          <w:b w:val="0"/>
          <w:sz w:val="22"/>
          <w:szCs w:val="22"/>
          <w:lang w:val="ro-RO"/>
        </w:rPr>
        <w:t>189</w:t>
      </w:r>
      <w:r w:rsidR="00151A65" w:rsidRPr="000A18FF">
        <w:rPr>
          <w:rStyle w:val="CaracterCaracter6"/>
          <w:rFonts w:ascii="Times New Roman" w:hAnsi="Times New Roman" w:cs="Times New Roman"/>
          <w:b w:val="0"/>
          <w:sz w:val="22"/>
          <w:szCs w:val="22"/>
          <w:lang w:val="ro-RO"/>
        </w:rPr>
        <w:t xml:space="preserve"> locuitori</w:t>
      </w:r>
      <w:r w:rsidRPr="000A18FF">
        <w:rPr>
          <w:rStyle w:val="CaracterCaracter6"/>
          <w:rFonts w:ascii="Times New Roman" w:hAnsi="Times New Roman" w:cs="Times New Roman"/>
          <w:b w:val="0"/>
          <w:sz w:val="22"/>
          <w:szCs w:val="22"/>
          <w:lang w:val="ro-RO"/>
        </w:rPr>
        <w:t xml:space="preserve"> în 5 de ani, dovedind o remarcabilă rezistență demografică, în comparație cu majoritatea orașelor țării, care cunosc un declin accentuat. În mediul rural aferent polului de creştere, numărul locuitorilor crește însă, de la </w:t>
      </w:r>
      <w:r w:rsidRPr="000A18FF">
        <w:rPr>
          <w:rFonts w:ascii="Times New Roman" w:hAnsi="Times New Roman" w:cs="Times New Roman"/>
          <w:lang w:val="ro-RO"/>
        </w:rPr>
        <w:t>60</w:t>
      </w:r>
      <w:r w:rsidR="00151A65" w:rsidRPr="000A18FF">
        <w:rPr>
          <w:rFonts w:ascii="Times New Roman" w:hAnsi="Times New Roman" w:cs="Times New Roman"/>
          <w:lang w:val="ro-RO"/>
        </w:rPr>
        <w:t>.</w:t>
      </w:r>
      <w:r w:rsidRPr="000A18FF">
        <w:rPr>
          <w:rFonts w:ascii="Times New Roman" w:hAnsi="Times New Roman" w:cs="Times New Roman"/>
          <w:lang w:val="ro-RO"/>
        </w:rPr>
        <w:t>777</w:t>
      </w:r>
      <w:r w:rsidRPr="000A18FF">
        <w:rPr>
          <w:rStyle w:val="CaracterCaracter6"/>
          <w:rFonts w:ascii="Times New Roman" w:hAnsi="Times New Roman" w:cs="Times New Roman"/>
          <w:b w:val="0"/>
          <w:sz w:val="22"/>
          <w:szCs w:val="22"/>
          <w:lang w:val="ro-RO"/>
        </w:rPr>
        <w:t xml:space="preserve"> la </w:t>
      </w:r>
      <w:r w:rsidRPr="000A18FF">
        <w:rPr>
          <w:rFonts w:ascii="Times New Roman" w:hAnsi="Times New Roman" w:cs="Times New Roman"/>
          <w:lang w:val="ro-RO"/>
        </w:rPr>
        <w:t>73</w:t>
      </w:r>
      <w:r w:rsidR="00151A65" w:rsidRPr="000A18FF">
        <w:rPr>
          <w:rFonts w:ascii="Times New Roman" w:hAnsi="Times New Roman" w:cs="Times New Roman"/>
          <w:lang w:val="ro-RO"/>
        </w:rPr>
        <w:t>.</w:t>
      </w:r>
      <w:r w:rsidRPr="000A18FF">
        <w:rPr>
          <w:rFonts w:ascii="Times New Roman" w:hAnsi="Times New Roman" w:cs="Times New Roman"/>
          <w:lang w:val="ro-RO"/>
        </w:rPr>
        <w:t xml:space="preserve">581 </w:t>
      </w:r>
      <w:r w:rsidRPr="000A18FF">
        <w:rPr>
          <w:rStyle w:val="CaracterCaracter6"/>
          <w:rFonts w:ascii="Times New Roman" w:hAnsi="Times New Roman" w:cs="Times New Roman"/>
          <w:b w:val="0"/>
          <w:sz w:val="22"/>
          <w:szCs w:val="22"/>
          <w:lang w:val="ro-RO"/>
        </w:rPr>
        <w:t xml:space="preserve">locuitori, respectiv un plus de </w:t>
      </w:r>
      <w:r w:rsidRPr="000A18FF">
        <w:rPr>
          <w:rFonts w:ascii="Times New Roman" w:hAnsi="Times New Roman" w:cs="Times New Roman"/>
          <w:lang w:val="ro-RO"/>
        </w:rPr>
        <w:t>12</w:t>
      </w:r>
      <w:r w:rsidR="00151A65" w:rsidRPr="000A18FF">
        <w:rPr>
          <w:rFonts w:ascii="Times New Roman" w:hAnsi="Times New Roman" w:cs="Times New Roman"/>
          <w:lang w:val="ro-RO"/>
        </w:rPr>
        <w:t>.</w:t>
      </w:r>
      <w:r w:rsidRPr="000A18FF">
        <w:rPr>
          <w:rFonts w:ascii="Times New Roman" w:hAnsi="Times New Roman" w:cs="Times New Roman"/>
          <w:lang w:val="ro-RO"/>
        </w:rPr>
        <w:t>804</w:t>
      </w:r>
      <w:r w:rsidRPr="000A18FF">
        <w:rPr>
          <w:rStyle w:val="CaracterCaracter6"/>
          <w:rFonts w:ascii="Times New Roman" w:hAnsi="Times New Roman" w:cs="Times New Roman"/>
          <w:b w:val="0"/>
          <w:sz w:val="22"/>
          <w:szCs w:val="22"/>
          <w:lang w:val="ro-RO"/>
        </w:rPr>
        <w:t xml:space="preserve"> persoane, o creștere care reflectă procesul de consolidare a influenței orașului în teritoriu.</w:t>
      </w:r>
    </w:p>
    <w:p w:rsidR="00F064AE" w:rsidRPr="000A18FF" w:rsidRDefault="00F064AE" w:rsidP="006257CA">
      <w:pPr>
        <w:spacing w:after="0" w:line="240" w:lineRule="auto"/>
        <w:ind w:firstLine="567"/>
        <w:jc w:val="both"/>
        <w:rPr>
          <w:rStyle w:val="CaracterCaracter6"/>
          <w:rFonts w:ascii="Times New Roman" w:hAnsi="Times New Roman" w:cs="Times New Roman"/>
          <w:b w:val="0"/>
          <w:bCs w:val="0"/>
          <w:sz w:val="22"/>
          <w:szCs w:val="22"/>
          <w:lang w:val="ro-RO"/>
        </w:rPr>
      </w:pPr>
      <w:r w:rsidRPr="000A18FF">
        <w:rPr>
          <w:rStyle w:val="CaracterCaracter6"/>
          <w:rFonts w:ascii="Times New Roman" w:hAnsi="Times New Roman" w:cs="Times New Roman"/>
          <w:b w:val="0"/>
          <w:sz w:val="22"/>
          <w:szCs w:val="22"/>
          <w:lang w:val="ro-RO"/>
        </w:rPr>
        <w:t xml:space="preserve">Creşteri se înregistrează în absolut toate cele 14 comune, cele mai mari fiind în comunele Giroc cu </w:t>
      </w:r>
      <w:r w:rsidRPr="000A18FF">
        <w:rPr>
          <w:rFonts w:ascii="Times New Roman" w:hAnsi="Times New Roman" w:cs="Times New Roman"/>
          <w:lang w:val="ro-RO"/>
        </w:rPr>
        <w:t>3574</w:t>
      </w:r>
      <w:r w:rsidRPr="000A18FF">
        <w:rPr>
          <w:rStyle w:val="CaracterCaracter6"/>
          <w:rFonts w:ascii="Times New Roman" w:hAnsi="Times New Roman" w:cs="Times New Roman"/>
          <w:b w:val="0"/>
          <w:sz w:val="22"/>
          <w:szCs w:val="22"/>
          <w:lang w:val="ro-RO"/>
        </w:rPr>
        <w:t xml:space="preserve"> locuitori, Dumbrăviţa cu </w:t>
      </w:r>
      <w:r w:rsidRPr="000A18FF">
        <w:rPr>
          <w:rFonts w:ascii="Times New Roman" w:hAnsi="Times New Roman" w:cs="Times New Roman"/>
          <w:lang w:val="ro-RO"/>
        </w:rPr>
        <w:t xml:space="preserve">2550 </w:t>
      </w:r>
      <w:r w:rsidRPr="000A18FF">
        <w:rPr>
          <w:rStyle w:val="CaracterCaracter6"/>
          <w:rFonts w:ascii="Times New Roman" w:hAnsi="Times New Roman" w:cs="Times New Roman"/>
          <w:b w:val="0"/>
          <w:sz w:val="22"/>
          <w:szCs w:val="22"/>
          <w:lang w:val="ro-RO"/>
        </w:rPr>
        <w:t xml:space="preserve">locuitori, Moșnița Nouă cu </w:t>
      </w:r>
      <w:r w:rsidRPr="000A18FF">
        <w:rPr>
          <w:rFonts w:ascii="Times New Roman" w:hAnsi="Times New Roman" w:cs="Times New Roman"/>
          <w:lang w:val="ro-RO"/>
        </w:rPr>
        <w:t xml:space="preserve">1642, </w:t>
      </w:r>
      <w:r w:rsidRPr="000A18FF">
        <w:rPr>
          <w:rStyle w:val="CaracterCaracter6"/>
          <w:rFonts w:ascii="Times New Roman" w:hAnsi="Times New Roman" w:cs="Times New Roman"/>
          <w:b w:val="0"/>
          <w:sz w:val="22"/>
          <w:szCs w:val="22"/>
          <w:lang w:val="ro-RO"/>
        </w:rPr>
        <w:t xml:space="preserve">Sânmihaiu Român cu </w:t>
      </w:r>
      <w:r w:rsidRPr="000A18FF">
        <w:rPr>
          <w:rFonts w:ascii="Times New Roman" w:hAnsi="Times New Roman" w:cs="Times New Roman"/>
          <w:lang w:val="ro-RO"/>
        </w:rPr>
        <w:t xml:space="preserve">1235 </w:t>
      </w:r>
      <w:r w:rsidRPr="000A18FF">
        <w:rPr>
          <w:rStyle w:val="CaracterCaracter6"/>
          <w:rFonts w:ascii="Times New Roman" w:hAnsi="Times New Roman" w:cs="Times New Roman"/>
          <w:b w:val="0"/>
          <w:sz w:val="22"/>
          <w:szCs w:val="22"/>
          <w:lang w:val="ro-RO"/>
        </w:rPr>
        <w:t>locuitori. Cele mai mici creșteri au loc în comunele Pișchia cu 151 locuitori, Bucovăț 176 locuitori și Becicherecu Mic 198 locuitori.</w:t>
      </w:r>
    </w:p>
    <w:p w:rsidR="00F064AE" w:rsidRPr="000A18FF" w:rsidRDefault="00F064AE" w:rsidP="006257CA">
      <w:pPr>
        <w:autoSpaceDE w:val="0"/>
        <w:spacing w:after="0" w:line="240" w:lineRule="auto"/>
        <w:ind w:firstLine="567"/>
        <w:jc w:val="both"/>
        <w:rPr>
          <w:rFonts w:ascii="Times New Roman" w:hAnsi="Times New Roman" w:cs="Times New Roman"/>
          <w:b/>
          <w:lang w:val="ro-RO"/>
        </w:rPr>
      </w:pPr>
    </w:p>
    <w:p w:rsidR="00F064AE" w:rsidRPr="000A18FF" w:rsidRDefault="00F064AE" w:rsidP="006257CA">
      <w:pPr>
        <w:pStyle w:val="ListParagraph"/>
        <w:numPr>
          <w:ilvl w:val="1"/>
          <w:numId w:val="1"/>
        </w:numPr>
        <w:autoSpaceDE w:val="0"/>
        <w:spacing w:after="0" w:line="240" w:lineRule="auto"/>
        <w:jc w:val="both"/>
        <w:rPr>
          <w:rFonts w:ascii="Times New Roman" w:hAnsi="Times New Roman" w:cs="Times New Roman"/>
          <w:b/>
          <w:lang w:val="ro-RO"/>
        </w:rPr>
      </w:pPr>
      <w:r w:rsidRPr="000A18FF">
        <w:rPr>
          <w:rFonts w:ascii="Times New Roman" w:hAnsi="Times New Roman" w:cs="Times New Roman"/>
          <w:b/>
          <w:lang w:val="ro-RO"/>
        </w:rPr>
        <w:t>Rata de evoluţie</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Fonts w:ascii="Times New Roman" w:hAnsi="Times New Roman" w:cs="Times New Roman"/>
          <w:lang w:val="ro-RO"/>
        </w:rPr>
        <w:t>Rata de evoluţie a numărului populaţiei în perioada 2010-2014 la nivelul polului de creştere a fost una pozitivă</w:t>
      </w:r>
      <w:r w:rsidR="000539E6" w:rsidRPr="000A18FF">
        <w:rPr>
          <w:rFonts w:ascii="Times New Roman" w:hAnsi="Times New Roman" w:cs="Times New Roman"/>
          <w:lang w:val="ro-RO"/>
        </w:rPr>
        <w:t>,</w:t>
      </w:r>
      <w:r w:rsidRPr="000A18FF">
        <w:rPr>
          <w:rFonts w:ascii="Times New Roman" w:hAnsi="Times New Roman" w:cs="Times New Roman"/>
          <w:lang w:val="ro-RO"/>
        </w:rPr>
        <w:t xml:space="preserve"> şi anume de 2,85 %, ceea ce înseamnă o medie anuală de 0,57 %</w:t>
      </w:r>
      <w:r w:rsidRPr="000A18FF">
        <w:rPr>
          <w:rStyle w:val="CaracterCaracter6"/>
          <w:rFonts w:ascii="Times New Roman" w:hAnsi="Times New Roman" w:cs="Times New Roman"/>
          <w:b w:val="0"/>
          <w:sz w:val="22"/>
          <w:szCs w:val="22"/>
          <w:lang w:val="ro-RO"/>
        </w:rPr>
        <w:t xml:space="preserve">, comparativ </w:t>
      </w:r>
      <w:r w:rsidR="00391EBE" w:rsidRPr="000A18FF">
        <w:rPr>
          <w:rStyle w:val="CaracterCaracter6"/>
          <w:rFonts w:ascii="Times New Roman" w:hAnsi="Times New Roman" w:cs="Times New Roman"/>
          <w:b w:val="0"/>
          <w:sz w:val="22"/>
          <w:szCs w:val="22"/>
          <w:lang w:val="ro-RO"/>
        </w:rPr>
        <w:t xml:space="preserve">cu </w:t>
      </w:r>
      <w:r w:rsidRPr="000A18FF">
        <w:rPr>
          <w:rStyle w:val="CaracterCaracter6"/>
          <w:rFonts w:ascii="Times New Roman" w:hAnsi="Times New Roman" w:cs="Times New Roman"/>
          <w:b w:val="0"/>
          <w:sz w:val="22"/>
          <w:szCs w:val="22"/>
          <w:lang w:val="ro-RO"/>
        </w:rPr>
        <w:t xml:space="preserve">ratele de la nivel național (-0,86 </w:t>
      </w:r>
      <w:r w:rsidRPr="000A18FF">
        <w:rPr>
          <w:rFonts w:ascii="Times New Roman" w:hAnsi="Times New Roman" w:cs="Times New Roman"/>
          <w:lang w:val="ro-RO"/>
        </w:rPr>
        <w:t>% sau -0,17 % pe an</w:t>
      </w:r>
      <w:r w:rsidRPr="000A18FF">
        <w:rPr>
          <w:rStyle w:val="CaracterCaracter6"/>
          <w:rFonts w:ascii="Times New Roman" w:hAnsi="Times New Roman" w:cs="Times New Roman"/>
          <w:b w:val="0"/>
          <w:sz w:val="22"/>
          <w:szCs w:val="22"/>
          <w:lang w:val="ro-RO"/>
        </w:rPr>
        <w:t xml:space="preserve">) și regional (Regiunea 5 Vest -1,02 sau -0,20 </w:t>
      </w:r>
      <w:r w:rsidRPr="000A18FF">
        <w:rPr>
          <w:rFonts w:ascii="Times New Roman" w:hAnsi="Times New Roman" w:cs="Times New Roman"/>
          <w:lang w:val="ro-RO"/>
        </w:rPr>
        <w:t>% pe an</w:t>
      </w:r>
      <w:r w:rsidRPr="000A18FF">
        <w:rPr>
          <w:rStyle w:val="CaracterCaracter6"/>
          <w:rFonts w:ascii="Times New Roman" w:hAnsi="Times New Roman" w:cs="Times New Roman"/>
          <w:b w:val="0"/>
          <w:sz w:val="22"/>
          <w:szCs w:val="22"/>
          <w:lang w:val="ro-RO"/>
        </w:rPr>
        <w:t xml:space="preserve">) care au fost negative. De remarcat faptul că Județul Timiș a avut tot o rată pozitivă de creștere în intervalul 2010-2014, de 1,50 </w:t>
      </w:r>
      <w:r w:rsidRPr="000A18FF">
        <w:rPr>
          <w:rFonts w:ascii="Times New Roman" w:hAnsi="Times New Roman" w:cs="Times New Roman"/>
          <w:lang w:val="ro-RO"/>
        </w:rPr>
        <w:t xml:space="preserve">% pe an, în rural, respectiv 0,30 % pe an, în mediul urban, indicatorul înregistrând astfel contraste însemnate între unități teritoriale de nivel taxonomic diferit. </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Style w:val="CaracterCaracter6"/>
          <w:rFonts w:ascii="Times New Roman" w:hAnsi="Times New Roman" w:cs="Times New Roman"/>
          <w:b w:val="0"/>
          <w:sz w:val="22"/>
          <w:szCs w:val="22"/>
          <w:lang w:val="ro-RO"/>
        </w:rPr>
        <w:t>Municipiul Timişoara, comparativ cu polul de creştere, are însă un ușor deficit demografic, de -0,36 %, adică -0,07 % pe an.</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Style w:val="CaracterCaracter6"/>
          <w:rFonts w:ascii="Times New Roman" w:hAnsi="Times New Roman" w:cs="Times New Roman"/>
          <w:b w:val="0"/>
          <w:sz w:val="22"/>
          <w:szCs w:val="22"/>
          <w:lang w:val="ro-RO"/>
        </w:rPr>
        <w:t>Comunele au avut o rată de creştere de 17,40 % pe întreaga perioadă (2010-2014), revenind o medie anuală de 3,48 %, fiind cele care au impus tendința de creștere întregului pol.</w:t>
      </w:r>
    </w:p>
    <w:p w:rsidR="00F064AE" w:rsidRPr="000A18FF" w:rsidRDefault="000539E6"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Style w:val="CaracterCaracter6"/>
          <w:rFonts w:ascii="Times New Roman" w:hAnsi="Times New Roman" w:cs="Times New Roman"/>
          <w:b w:val="0"/>
          <w:sz w:val="22"/>
          <w:szCs w:val="22"/>
          <w:lang w:val="ro-RO"/>
        </w:rPr>
        <w:t>Se remarcă</w:t>
      </w:r>
      <w:r w:rsidR="00F064AE" w:rsidRPr="000A18FF">
        <w:rPr>
          <w:rStyle w:val="CaracterCaracter6"/>
          <w:rFonts w:ascii="Times New Roman" w:hAnsi="Times New Roman" w:cs="Times New Roman"/>
          <w:b w:val="0"/>
          <w:sz w:val="22"/>
          <w:szCs w:val="22"/>
          <w:lang w:val="ro-RO"/>
        </w:rPr>
        <w:t xml:space="preserve"> faptul că toate cele 14 comune au avut o rată pozitivă de evoluție, cele mai mari creșteri fiind înregistrate de Giroc 37,12 % (7,42 % pe an), Dumbrăvița 35,31 % (7,06 % pe an), Moșnița Nouă 24,01 % (4,8 % pe an), Sânmihaiu Român 18,45 % (3,69 % pe an), Ghiroda 13,14 % (2,63 % pe an), Bucovăț 10,55 % (2,11 % pe an).</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it-IT"/>
        </w:rPr>
      </w:pPr>
      <w:r w:rsidRPr="000A18FF">
        <w:rPr>
          <w:rStyle w:val="CaracterCaracter6"/>
          <w:rFonts w:ascii="Times New Roman" w:hAnsi="Times New Roman" w:cs="Times New Roman"/>
          <w:b w:val="0"/>
          <w:sz w:val="22"/>
          <w:szCs w:val="22"/>
          <w:lang w:val="it-IT"/>
        </w:rPr>
        <w:t xml:space="preserve">Cele mai mici creșteri le-au înregistrat comunele Pișchia 2,91 </w:t>
      </w:r>
      <w:r w:rsidRPr="000A18FF">
        <w:rPr>
          <w:rStyle w:val="CaracterCaracter6"/>
          <w:rFonts w:ascii="Times New Roman" w:hAnsi="Times New Roman" w:cs="Times New Roman"/>
          <w:b w:val="0"/>
          <w:sz w:val="22"/>
          <w:szCs w:val="22"/>
          <w:lang w:val="ro-RO"/>
        </w:rPr>
        <w:t>% (0,97 % pe an), Giarmata 3,62 % (1,37 % pe an), Dudeștii Noi 4,20 % (1,91 % pe an).</w:t>
      </w:r>
    </w:p>
    <w:p w:rsidR="006112EA" w:rsidRPr="000A18FF" w:rsidRDefault="006112EA" w:rsidP="006257CA">
      <w:pPr>
        <w:autoSpaceDE w:val="0"/>
        <w:spacing w:after="0" w:line="240" w:lineRule="auto"/>
        <w:ind w:firstLine="567"/>
        <w:jc w:val="both"/>
        <w:rPr>
          <w:rStyle w:val="CaracterCaracter6"/>
          <w:rFonts w:ascii="Times New Roman" w:hAnsi="Times New Roman" w:cs="Times New Roman"/>
          <w:b w:val="0"/>
          <w:sz w:val="22"/>
          <w:szCs w:val="22"/>
          <w:lang w:val="it-IT"/>
        </w:rPr>
      </w:pPr>
    </w:p>
    <w:p w:rsidR="00F064AE" w:rsidRPr="000A18FF" w:rsidRDefault="00041016" w:rsidP="006257CA">
      <w:pPr>
        <w:pStyle w:val="ListParagraph"/>
        <w:numPr>
          <w:ilvl w:val="1"/>
          <w:numId w:val="1"/>
        </w:numPr>
        <w:autoSpaceDE w:val="0"/>
        <w:spacing w:after="0" w:line="240" w:lineRule="auto"/>
        <w:jc w:val="both"/>
        <w:rPr>
          <w:rFonts w:ascii="Times New Roman" w:hAnsi="Times New Roman" w:cs="Times New Roman"/>
          <w:b/>
          <w:bCs/>
          <w:lang w:val="it-IT"/>
        </w:rPr>
      </w:pPr>
      <w:r w:rsidRPr="000A18FF">
        <w:rPr>
          <w:rFonts w:ascii="Times New Roman" w:hAnsi="Times New Roman" w:cs="Times New Roman"/>
          <w:b/>
          <w:lang w:val="it-IT"/>
        </w:rPr>
        <w:lastRenderedPageBreak/>
        <w:t>Distribuţia și d</w:t>
      </w:r>
      <w:r w:rsidR="00F064AE" w:rsidRPr="000A18FF">
        <w:rPr>
          <w:rFonts w:ascii="Times New Roman" w:hAnsi="Times New Roman" w:cs="Times New Roman"/>
          <w:b/>
          <w:lang w:val="it-IT"/>
        </w:rPr>
        <w:t>ensitatea</w:t>
      </w:r>
      <w:r w:rsidRPr="000A18FF">
        <w:rPr>
          <w:rFonts w:ascii="Times New Roman" w:hAnsi="Times New Roman" w:cs="Times New Roman"/>
          <w:b/>
          <w:lang w:val="it-IT"/>
        </w:rPr>
        <w:t xml:space="preserve"> populației</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Fonts w:ascii="Times New Roman" w:hAnsi="Times New Roman" w:cs="Times New Roman"/>
          <w:lang w:val="it-IT"/>
        </w:rPr>
        <w:t>Ca urmare a creșterii numărului populaţiei la nivelul polului, şi densitatea este uşor mai mare, de la</w:t>
      </w:r>
      <w:r w:rsidRPr="000A18FF">
        <w:rPr>
          <w:rFonts w:ascii="Times New Roman" w:hAnsi="Times New Roman" w:cs="Times New Roman"/>
          <w:b/>
          <w:lang w:val="it-IT"/>
        </w:rPr>
        <w:t xml:space="preserve"> </w:t>
      </w:r>
      <w:r w:rsidRPr="000A18FF">
        <w:rPr>
          <w:rFonts w:ascii="Times New Roman" w:hAnsi="Times New Roman" w:cs="Times New Roman"/>
          <w:lang w:val="it-IT"/>
        </w:rPr>
        <w:t>366</w:t>
      </w:r>
      <w:r w:rsidRPr="000A18FF">
        <w:rPr>
          <w:rStyle w:val="CaracterCaracter6"/>
          <w:rFonts w:ascii="Times New Roman" w:hAnsi="Times New Roman" w:cs="Times New Roman"/>
          <w:b w:val="0"/>
          <w:sz w:val="22"/>
          <w:szCs w:val="22"/>
          <w:lang w:val="ro-RO"/>
        </w:rPr>
        <w:t xml:space="preserve">,36 loc./km² în anul 2010, ajungând la 377,12 loc./km² în anul 2014. Cea mai mare densitate o are, evident, municipiul Timişoara – centrul urban al polului de creştere – cu  2580,11 </w:t>
      </w:r>
      <w:r w:rsidRPr="000A18FF">
        <w:rPr>
          <w:rFonts w:ascii="Times New Roman" w:hAnsi="Times New Roman" w:cs="Times New Roman"/>
          <w:lang w:val="ro-RO"/>
        </w:rPr>
        <w:t>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xml:space="preserve"> în 2014.</w:t>
      </w:r>
      <w:r w:rsidRPr="000A18FF">
        <w:rPr>
          <w:rStyle w:val="CaracterCaracter6"/>
          <w:rFonts w:ascii="Times New Roman" w:hAnsi="Times New Roman" w:cs="Times New Roman"/>
          <w:b w:val="0"/>
          <w:sz w:val="22"/>
          <w:szCs w:val="22"/>
          <w:lang w:val="ro-RO"/>
        </w:rPr>
        <w:t xml:space="preserve"> Astfel, din punct de vedere al densității populației, Timișoara se încadrează între Iași cu 3518,41 </w:t>
      </w:r>
      <w:r w:rsidRPr="000A18FF">
        <w:rPr>
          <w:rFonts w:ascii="Times New Roman" w:hAnsi="Times New Roman" w:cs="Times New Roman"/>
          <w:lang w:val="ro-RO"/>
        </w:rPr>
        <w:t>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xml:space="preserve"> și Cluj Napoca cu 1785,58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sz w:val="22"/>
          <w:szCs w:val="22"/>
          <w:lang w:val="ro-RO"/>
        </w:rPr>
      </w:pPr>
      <w:r w:rsidRPr="000A18FF">
        <w:rPr>
          <w:rStyle w:val="CaracterCaracter6"/>
          <w:rFonts w:ascii="Times New Roman" w:hAnsi="Times New Roman" w:cs="Times New Roman"/>
          <w:b w:val="0"/>
          <w:sz w:val="22"/>
          <w:szCs w:val="22"/>
          <w:lang w:val="ro-RO"/>
        </w:rPr>
        <w:t xml:space="preserve">Pentru comunele aflate în arealul de influenţă al municipiului Timişoara, densitatea populaţiei înregistrează o uşoară creştere, dată de evoluţia pozitivă a numărului de locuitori, datorată convergenței dintre atracția exercitată de municipiul Timișoara și oportunitățile de localizare, habitat și circulație din zona sa de influență. </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bCs w:val="0"/>
          <w:sz w:val="22"/>
          <w:szCs w:val="22"/>
          <w:lang w:val="ro-RO"/>
        </w:rPr>
      </w:pPr>
      <w:r w:rsidRPr="000A18FF">
        <w:rPr>
          <w:rFonts w:ascii="Times New Roman" w:hAnsi="Times New Roman" w:cs="Times New Roman"/>
          <w:lang w:val="ro-RO"/>
        </w:rPr>
        <w:t>Dacă în 2010, densitatea medie în arealul de influenţă al municipiului măsura 63,96</w:t>
      </w:r>
      <w:r w:rsidRPr="000A18FF">
        <w:rPr>
          <w:rStyle w:val="CaracterCaracter6"/>
          <w:rFonts w:ascii="Times New Roman" w:hAnsi="Times New Roman" w:cs="Times New Roman"/>
          <w:b w:val="0"/>
          <w:sz w:val="22"/>
          <w:szCs w:val="22"/>
          <w:lang w:val="ro-RO"/>
        </w:rPr>
        <w:t xml:space="preserve"> loc/ km², în 2014 ea ajunge la 77,43  loc./km².</w:t>
      </w:r>
    </w:p>
    <w:p w:rsidR="00F064AE" w:rsidRPr="000A18FF" w:rsidRDefault="00F064AE" w:rsidP="006257CA">
      <w:pPr>
        <w:autoSpaceDE w:val="0"/>
        <w:spacing w:after="0" w:line="240" w:lineRule="auto"/>
        <w:ind w:firstLine="567"/>
        <w:jc w:val="both"/>
        <w:rPr>
          <w:rFonts w:ascii="Times New Roman" w:hAnsi="Times New Roman" w:cs="Times New Roman"/>
          <w:lang w:val="ro-RO"/>
        </w:rPr>
      </w:pPr>
      <w:r w:rsidRPr="000A18FF">
        <w:rPr>
          <w:rFonts w:ascii="Times New Roman" w:hAnsi="Times New Roman" w:cs="Times New Roman"/>
          <w:lang w:val="ro-RO"/>
        </w:rPr>
        <w:t xml:space="preserve">Municipiul Timişoara, cu cei </w:t>
      </w:r>
      <w:r w:rsidRPr="000A18FF">
        <w:rPr>
          <w:rStyle w:val="CaracterCaracter6"/>
          <w:rFonts w:ascii="Times New Roman" w:hAnsi="Times New Roman" w:cs="Times New Roman"/>
          <w:b w:val="0"/>
          <w:sz w:val="22"/>
          <w:szCs w:val="22"/>
          <w:lang w:val="ro-RO"/>
        </w:rPr>
        <w:t xml:space="preserve">2580,11 </w:t>
      </w:r>
      <w:r w:rsidRPr="000A18FF">
        <w:rPr>
          <w:rFonts w:ascii="Times New Roman" w:hAnsi="Times New Roman" w:cs="Times New Roman"/>
          <w:lang w:val="ro-RO"/>
        </w:rPr>
        <w:t>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formează totodată şi cea mai densă zonă locuită din judeţul Timiş (care în anul 2014 avea doar 85,00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respectiv una din marile concentrări urbane ale României. Arealul de influență al polului este, la rândul său, în plin proces de densificare demografică, proces mai avansat în comunele din vecinătatea imediată a orașului. Comunele Dumbrăviţa (380,25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Ghiroda (186,64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și Giroc (182,45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au densităţi cu mult peste media judeţului (78,42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şi peste cea naţională (89,41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 în timp ce în celelalte comune densitatea este sub cele două medii de referinţă. La polul opus, se situează comunele Remetea Mare, Orţişoara şi Pişchia, cu densități mult mai scăzute (25-30 loc/km</w:t>
      </w:r>
      <w:r w:rsidRPr="000A18FF">
        <w:rPr>
          <w:rFonts w:ascii="Times New Roman" w:hAnsi="Times New Roman" w:cs="Times New Roman"/>
          <w:vertAlign w:val="superscript"/>
          <w:lang w:val="ro-RO"/>
        </w:rPr>
        <w:t>2</w:t>
      </w:r>
      <w:r w:rsidRPr="000A18FF">
        <w:rPr>
          <w:rFonts w:ascii="Times New Roman" w:hAnsi="Times New Roman" w:cs="Times New Roman"/>
          <w:lang w:val="ro-RO"/>
        </w:rPr>
        <w:t>).</w:t>
      </w:r>
    </w:p>
    <w:p w:rsidR="00F064AE" w:rsidRPr="000A18FF" w:rsidRDefault="00F064AE" w:rsidP="006257CA">
      <w:pPr>
        <w:autoSpaceDE w:val="0"/>
        <w:spacing w:after="0" w:line="240" w:lineRule="auto"/>
        <w:ind w:firstLine="567"/>
        <w:jc w:val="both"/>
        <w:rPr>
          <w:rFonts w:ascii="Times New Roman" w:hAnsi="Times New Roman" w:cs="Times New Roman"/>
          <w:b/>
          <w:lang w:val="ro-RO"/>
        </w:rPr>
      </w:pPr>
    </w:p>
    <w:p w:rsidR="00F064AE" w:rsidRPr="000A18FF" w:rsidRDefault="00F064AE" w:rsidP="006257CA">
      <w:pPr>
        <w:pStyle w:val="ListParagraph"/>
        <w:numPr>
          <w:ilvl w:val="1"/>
          <w:numId w:val="1"/>
        </w:numPr>
        <w:autoSpaceDE w:val="0"/>
        <w:spacing w:after="0" w:line="240" w:lineRule="auto"/>
        <w:jc w:val="both"/>
        <w:rPr>
          <w:rFonts w:ascii="Times New Roman" w:hAnsi="Times New Roman" w:cs="Times New Roman"/>
          <w:b/>
          <w:lang w:val="fr-FR"/>
        </w:rPr>
      </w:pPr>
      <w:r w:rsidRPr="000A18FF">
        <w:rPr>
          <w:rFonts w:ascii="Times New Roman" w:hAnsi="Times New Roman" w:cs="Times New Roman"/>
          <w:b/>
          <w:lang w:val="fr-FR"/>
        </w:rPr>
        <w:t>Mişcarea naturală a populaţiei</w:t>
      </w:r>
    </w:p>
    <w:p w:rsidR="00F064AE" w:rsidRPr="000A18FF" w:rsidRDefault="00F064AE" w:rsidP="006257CA">
      <w:pPr>
        <w:autoSpaceDE w:val="0"/>
        <w:spacing w:after="0" w:line="240" w:lineRule="auto"/>
        <w:ind w:firstLine="567"/>
        <w:jc w:val="both"/>
        <w:rPr>
          <w:rStyle w:val="CaracterCaracter6"/>
          <w:rFonts w:ascii="Times New Roman" w:hAnsi="Times New Roman" w:cs="Times New Roman"/>
          <w:b w:val="0"/>
          <w:bCs w:val="0"/>
          <w:sz w:val="22"/>
          <w:szCs w:val="22"/>
          <w:lang w:val="ro-RO"/>
        </w:rPr>
      </w:pPr>
      <w:r w:rsidRPr="000A18FF">
        <w:rPr>
          <w:rFonts w:ascii="Times New Roman" w:hAnsi="Times New Roman" w:cs="Times New Roman"/>
          <w:lang w:val="fr-FR"/>
        </w:rPr>
        <w:t>Componentele mişcării naturale a populaţiei Polului de creştere Timişoara au valori diferite. Dacă natalitatea pe întregul teritoriu al polului de creştere înregistra o valoare de 1</w:t>
      </w:r>
      <w:r w:rsidRPr="000A18FF">
        <w:rPr>
          <w:rStyle w:val="CaracterCaracter6"/>
          <w:rFonts w:ascii="Times New Roman" w:hAnsi="Times New Roman" w:cs="Times New Roman"/>
          <w:b w:val="0"/>
          <w:sz w:val="22"/>
          <w:szCs w:val="22"/>
          <w:lang w:val="ro-RO"/>
        </w:rPr>
        <w:t>0 ‰ în 2012, mortalitatea avea o valoare ceva mai mică, de 9,8 ‰, rezultând un spor natural de 0,2 ‰, situație extrem de pozitivă la nivelul României, aflată într-un accentuat declin al bilanțului demografic natural.</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 xml:space="preserve">Natalitatea în centrul urban este de 9,6 </w:t>
      </w:r>
      <w:r w:rsidRPr="000A18FF">
        <w:rPr>
          <w:rStyle w:val="CaracterCaracter6"/>
          <w:rFonts w:ascii="Times New Roman" w:hAnsi="Times New Roman" w:cs="Times New Roman"/>
          <w:b w:val="0"/>
          <w:sz w:val="22"/>
          <w:szCs w:val="22"/>
          <w:lang w:val="it-IT"/>
        </w:rPr>
        <w:t xml:space="preserve">‰, </w:t>
      </w:r>
      <w:r w:rsidRPr="000A18FF">
        <w:rPr>
          <w:rFonts w:ascii="Times New Roman" w:hAnsi="Times New Roman" w:cs="Times New Roman"/>
          <w:lang w:val="fr-FR"/>
        </w:rPr>
        <w:t xml:space="preserve">în timp ce mortalitatea este 9,7 ‰, rezultând un ușor deficit demografic, de –0,1 ‰. În comunele din arealul de influenţă al municipiului Timişoara, valorile mişcării naturale diferă foarte mult între comune, precum și faţă de mediile polului de creştere. </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Astfel, valorile cele mai mici ale natalităţii se înregistrează în comunele Pişchia, cu 6,7 ‰, şi Becicherecu Mic, cu 7,6 ‰, în timp ce Giroc şi Dudeştii Noi au cele mai mari valori, şi anume 15,8 ‰ şi respectiv 17,4 ‰.</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În cadrul mortalităţii, pe primele locuri, cu cele mai mari valori, se află comunele Şag cu 14,7 ‰ şi Remetea Mare cu 15,3 ‰, reflectând dificultăți în fixarea locală a forței de muncă tinere, în măsură să schimbe vârsta medie a pupulației, în timp ce la polul opus se situează Dudeştii Noi, cu 7,2 ‰, şi Dumbrăviţa, cu 7,8 ‰.</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Bilanţul demografic natural, rezultat din diferenţa dintre natalitate şi mortalitate, înregistrează, ca şi cele două componente ale sale, variaţii foarte mari atât de la o comună la alta cât şi faţă de media polului de creştere. Cele mai mari valori ale bilanţului demografic natural le înregistrează comunele Dudeştii Noi cu 10,2 ‰ şi Giroc cu 6,7 ‰, în timp indicii cei mai mici îi au comunele Şag -5,9 ‰ şi Remetea Mare -5,4 ‰. Aceste disparități nu se află întotdeauna în relație directă cu capacitatea comunelor respective de a atrage investiții, ci mai degrabă reflectă realități și percepții legate de condițiile de mediu și de disponibilitatea de fond funciar pentru extinderea habitatului.</w:t>
      </w:r>
    </w:p>
    <w:p w:rsidR="00F064AE" w:rsidRDefault="00F064AE" w:rsidP="006257CA">
      <w:pPr>
        <w:spacing w:after="0" w:line="240" w:lineRule="auto"/>
        <w:ind w:firstLine="576"/>
        <w:jc w:val="both"/>
        <w:rPr>
          <w:rFonts w:ascii="Times New Roman" w:hAnsi="Times New Roman" w:cs="Times New Roman"/>
          <w:lang w:val="fr-FR"/>
        </w:rPr>
      </w:pPr>
    </w:p>
    <w:p w:rsidR="00F064AE" w:rsidRPr="000A18FF" w:rsidRDefault="00F064AE" w:rsidP="006257CA">
      <w:pPr>
        <w:pStyle w:val="ListParagraph"/>
        <w:numPr>
          <w:ilvl w:val="1"/>
          <w:numId w:val="1"/>
        </w:numPr>
        <w:spacing w:after="0" w:line="240" w:lineRule="auto"/>
        <w:jc w:val="both"/>
        <w:rPr>
          <w:rFonts w:ascii="Times New Roman" w:hAnsi="Times New Roman" w:cs="Times New Roman"/>
          <w:b/>
          <w:lang w:val="fr-FR"/>
        </w:rPr>
      </w:pPr>
      <w:r w:rsidRPr="000A18FF">
        <w:rPr>
          <w:rFonts w:ascii="Times New Roman" w:hAnsi="Times New Roman" w:cs="Times New Roman"/>
          <w:b/>
          <w:lang w:val="fr-FR"/>
        </w:rPr>
        <w:t xml:space="preserve">Structura populaţiei </w:t>
      </w:r>
    </w:p>
    <w:p w:rsidR="00F064AE" w:rsidRPr="000A18FF" w:rsidRDefault="00F064AE" w:rsidP="006257CA">
      <w:pPr>
        <w:pStyle w:val="ListParagraph"/>
        <w:numPr>
          <w:ilvl w:val="0"/>
          <w:numId w:val="2"/>
        </w:numPr>
        <w:spacing w:after="0" w:line="240" w:lineRule="auto"/>
        <w:jc w:val="both"/>
        <w:rPr>
          <w:rFonts w:ascii="Times New Roman" w:hAnsi="Times New Roman" w:cs="Times New Roman"/>
          <w:lang w:val="fr-FR"/>
        </w:rPr>
      </w:pPr>
      <w:r w:rsidRPr="000A18FF">
        <w:rPr>
          <w:rFonts w:ascii="Times New Roman" w:hAnsi="Times New Roman" w:cs="Times New Roman"/>
          <w:b/>
          <w:lang w:val="fr-FR"/>
        </w:rPr>
        <w:t>Structura populaţiei pe grupe de vârstă şi sexe</w:t>
      </w:r>
    </w:p>
    <w:p w:rsidR="00F064AE" w:rsidRPr="000A18FF" w:rsidRDefault="00F064AE" w:rsidP="006257CA">
      <w:pPr>
        <w:spacing w:after="0" w:line="240" w:lineRule="auto"/>
        <w:ind w:firstLine="567"/>
        <w:jc w:val="both"/>
        <w:rPr>
          <w:rFonts w:ascii="Times New Roman" w:hAnsi="Times New Roman" w:cs="Times New Roman"/>
          <w:lang w:val="fr-FR"/>
        </w:rPr>
      </w:pPr>
      <w:r w:rsidRPr="000A18FF">
        <w:rPr>
          <w:rFonts w:ascii="Times New Roman" w:hAnsi="Times New Roman" w:cs="Times New Roman"/>
          <w:lang w:val="fr-FR"/>
        </w:rPr>
        <w:t xml:space="preserve">Conform datelor Institutului Naţional de Statistică, </w:t>
      </w:r>
      <w:r w:rsidRPr="000A18FF">
        <w:rPr>
          <w:rStyle w:val="arial12negru1"/>
          <w:rFonts w:ascii="Times New Roman" w:hAnsi="Times New Roman" w:cs="Times New Roman"/>
          <w:color w:val="auto"/>
          <w:sz w:val="22"/>
          <w:szCs w:val="22"/>
          <w:lang w:val="fr-FR"/>
        </w:rPr>
        <w:t>populaţia României urmează o tendinţă generală de îmbătrânire demografică, specifică însă multor ţări europene.</w:t>
      </w:r>
      <w:r w:rsidRPr="000A18FF">
        <w:rPr>
          <w:rFonts w:ascii="Times New Roman" w:hAnsi="Times New Roman" w:cs="Times New Roman"/>
          <w:lang w:val="fr-FR"/>
        </w:rPr>
        <w:t xml:space="preserve"> Astfel, vârsta medie a populaţiei </w:t>
      </w:r>
      <w:r w:rsidRPr="000A18FF">
        <w:rPr>
          <w:rFonts w:ascii="Times New Roman" w:hAnsi="Times New Roman" w:cs="Times New Roman"/>
          <w:lang w:val="fr-FR"/>
        </w:rPr>
        <w:lastRenderedPageBreak/>
        <w:t>României este de 40,6 ani, în timp ce pentru municipiul Timişoara ea este de 40,1 ani, cu valori diferite pentru masculin 38,5 ani, iar pentru feminin 41,4 ani la 1 ianuarie 2013.</w:t>
      </w:r>
    </w:p>
    <w:p w:rsidR="00F064AE" w:rsidRPr="000A18FF" w:rsidRDefault="00F064AE" w:rsidP="006257CA">
      <w:pPr>
        <w:autoSpaceDE w:val="0"/>
        <w:spacing w:after="0" w:line="240" w:lineRule="auto"/>
        <w:ind w:firstLine="567"/>
        <w:jc w:val="both"/>
        <w:rPr>
          <w:rFonts w:ascii="Times New Roman" w:hAnsi="Times New Roman" w:cs="Times New Roman"/>
          <w:lang w:val="fr-FR"/>
        </w:rPr>
      </w:pPr>
      <w:r w:rsidRPr="000A18FF">
        <w:rPr>
          <w:rFonts w:ascii="Times New Roman" w:hAnsi="Times New Roman" w:cs="Times New Roman"/>
          <w:lang w:val="fr-FR"/>
        </w:rPr>
        <w:t>Analiza structurii pe vârste a populaţiei Polului de creştere Timişoara în anul 2013 indică faptul că grupul majoritar de populaţie se află în segmentul 20-64 ani, 70.0 %, urmat de segmentul sub 20 ani, cu un procentaj de 17.0 %, în timp ce segmentului de peste 64 ani îi revenin doar 12.9 %. Se constată, astfel, un raport echilibrat între populația aptă de muncă și cea dependentă, cu un bun potențial de evoluție pozitivă în anii următori.</w:t>
      </w:r>
    </w:p>
    <w:p w:rsidR="00F064AE" w:rsidRPr="000A18FF" w:rsidRDefault="00F064AE" w:rsidP="006257CA">
      <w:pPr>
        <w:spacing w:after="0" w:line="240" w:lineRule="auto"/>
        <w:ind w:firstLine="567"/>
        <w:jc w:val="both"/>
        <w:rPr>
          <w:rFonts w:ascii="Times New Roman" w:hAnsi="Times New Roman" w:cs="Times New Roman"/>
          <w:lang w:val="fr-FR"/>
        </w:rPr>
      </w:pPr>
      <w:r w:rsidRPr="000A18FF">
        <w:rPr>
          <w:rFonts w:ascii="Times New Roman" w:hAnsi="Times New Roman" w:cs="Times New Roman"/>
          <w:lang w:val="fr-FR"/>
        </w:rPr>
        <w:t>Ponderea grupei de vârstă activă (între 20 şi 64 de ani) în anul 2013 era de 70,6 % în centrul urban Timişoara, în timp ce în arealul său de influenţă aceeaşi grupă de vârstă deţinea o pondere de 67,5 %, având valori uşor mai ridicate în comunele Dumbrăviţa, Ghiroda, Giroc şi mai scăzute în Pişchia, Orţişoara, Sânmihaiu Român şi Moşniţa Nouă.</w:t>
      </w:r>
    </w:p>
    <w:p w:rsidR="00F064AE" w:rsidRPr="000A18FF" w:rsidRDefault="00F064AE" w:rsidP="006257CA">
      <w:pPr>
        <w:spacing w:after="0" w:line="240" w:lineRule="auto"/>
        <w:ind w:firstLine="567"/>
        <w:jc w:val="both"/>
        <w:rPr>
          <w:rFonts w:ascii="Times New Roman" w:hAnsi="Times New Roman" w:cs="Times New Roman"/>
          <w:b/>
          <w:lang w:val="fr-FR"/>
        </w:rPr>
      </w:pPr>
    </w:p>
    <w:p w:rsidR="00F064AE" w:rsidRPr="000A18FF" w:rsidRDefault="00F064AE" w:rsidP="006257CA">
      <w:pPr>
        <w:pStyle w:val="ListParagraph"/>
        <w:numPr>
          <w:ilvl w:val="0"/>
          <w:numId w:val="2"/>
        </w:numPr>
        <w:spacing w:after="0" w:line="240" w:lineRule="auto"/>
        <w:ind w:left="0" w:firstLine="540"/>
        <w:jc w:val="both"/>
        <w:rPr>
          <w:rFonts w:ascii="Times New Roman" w:hAnsi="Times New Roman" w:cs="Times New Roman"/>
          <w:b/>
          <w:lang w:val="fr-FR"/>
        </w:rPr>
      </w:pPr>
      <w:r w:rsidRPr="000A18FF">
        <w:rPr>
          <w:rFonts w:ascii="Times New Roman" w:hAnsi="Times New Roman" w:cs="Times New Roman"/>
          <w:b/>
          <w:lang w:val="fr-FR"/>
        </w:rPr>
        <w:t>Structura pe sexe</w:t>
      </w:r>
      <w:r w:rsidRPr="000A18FF">
        <w:rPr>
          <w:rFonts w:ascii="Times New Roman" w:hAnsi="Times New Roman" w:cs="Times New Roman"/>
          <w:lang w:val="fr-FR"/>
        </w:rPr>
        <w:t xml:space="preserve"> a populaţiei polului de creştere este favorabilă populaţiei de sex feminin, cu 197566 persoane, reprezentând cca 53%, faţă de 175279 persoane de sex masculin, 47% pentru populaţia totală. În aceste condiții, raportul de masculinitate este de 88,7 persoane de sex masculin la 100 persoane de sex feminin în anul 2013, subliniind o ușoară feminizare a populației.</w:t>
      </w:r>
    </w:p>
    <w:p w:rsidR="00F064AE" w:rsidRPr="000A18FF" w:rsidRDefault="00F064AE" w:rsidP="006257CA">
      <w:pPr>
        <w:spacing w:after="0" w:line="240" w:lineRule="auto"/>
        <w:ind w:firstLine="567"/>
        <w:jc w:val="both"/>
        <w:rPr>
          <w:rFonts w:ascii="Times New Roman" w:hAnsi="Times New Roman" w:cs="Times New Roman"/>
          <w:b/>
          <w:lang w:val="fr-FR"/>
        </w:rPr>
      </w:pPr>
    </w:p>
    <w:p w:rsidR="00F064AE" w:rsidRPr="000A18FF" w:rsidRDefault="00F064AE" w:rsidP="006257CA">
      <w:pPr>
        <w:pStyle w:val="ListParagraph"/>
        <w:numPr>
          <w:ilvl w:val="0"/>
          <w:numId w:val="2"/>
        </w:numPr>
        <w:spacing w:after="0" w:line="240" w:lineRule="auto"/>
        <w:jc w:val="both"/>
        <w:rPr>
          <w:rFonts w:ascii="Times New Roman" w:hAnsi="Times New Roman" w:cs="Times New Roman"/>
          <w:b/>
          <w:lang w:val="fr-FR"/>
        </w:rPr>
      </w:pPr>
      <w:r w:rsidRPr="000A18FF">
        <w:rPr>
          <w:rFonts w:ascii="Times New Roman" w:hAnsi="Times New Roman" w:cs="Times New Roman"/>
          <w:b/>
          <w:lang w:val="fr-FR"/>
        </w:rPr>
        <w:t>Structura populaţiei după nivelul de instruire</w:t>
      </w:r>
    </w:p>
    <w:p w:rsidR="00F064AE" w:rsidRPr="000A18FF" w:rsidRDefault="00F064AE" w:rsidP="006257CA">
      <w:pPr>
        <w:spacing w:after="0" w:line="240" w:lineRule="auto"/>
        <w:ind w:firstLine="567"/>
        <w:jc w:val="both"/>
        <w:rPr>
          <w:rFonts w:ascii="Times New Roman" w:hAnsi="Times New Roman" w:cs="Times New Roman"/>
          <w:b/>
          <w:lang w:val="fr-FR"/>
        </w:rPr>
      </w:pPr>
      <w:r w:rsidRPr="000A18FF">
        <w:rPr>
          <w:rFonts w:ascii="Times New Roman" w:hAnsi="Times New Roman" w:cs="Times New Roman"/>
          <w:lang w:val="fr-FR"/>
        </w:rPr>
        <w:t>Conform datelor definitive ale recensământului din anul 2011, structura populaţiei Polului de creştere, după nivelul de instruire, scoate în evidenţă ponderea mare pe care o dețin, în cadrul populației în vârstă de peste 10 ani, absolvenții învăţământului secundar, 62,2%, după care urmează cei cu studii superioare, 27,9 %, respectiv cu studii post-liceale şi de maiştri 2,8 %. Ponderea redusă a celor ale căror studii s-au oprit la școala primară (doar 5,8%), precum și a celor fără școală absolvită (1,3%), reflectă progresul civilizațional local, sub influența prestigioaselor unități de învățământ concentrate mai ales în Timișoara.</w:t>
      </w:r>
    </w:p>
    <w:p w:rsidR="00F064AE" w:rsidRPr="000A18FF" w:rsidRDefault="00F064AE" w:rsidP="006257CA">
      <w:pPr>
        <w:spacing w:after="0" w:line="240" w:lineRule="auto"/>
        <w:ind w:firstLine="567"/>
        <w:jc w:val="both"/>
        <w:rPr>
          <w:rFonts w:ascii="Times New Roman" w:hAnsi="Times New Roman" w:cs="Times New Roman"/>
          <w:b/>
          <w:lang w:val="fr-FR"/>
        </w:rPr>
      </w:pPr>
    </w:p>
    <w:p w:rsidR="00F064AE" w:rsidRPr="000A18FF" w:rsidRDefault="00F064AE" w:rsidP="006257CA">
      <w:pPr>
        <w:pStyle w:val="ListParagraph"/>
        <w:numPr>
          <w:ilvl w:val="0"/>
          <w:numId w:val="2"/>
        </w:numPr>
        <w:spacing w:after="0" w:line="240" w:lineRule="auto"/>
        <w:jc w:val="both"/>
        <w:rPr>
          <w:rFonts w:ascii="Times New Roman" w:hAnsi="Times New Roman" w:cs="Times New Roman"/>
          <w:b/>
          <w:lang w:val="fr-FR"/>
        </w:rPr>
      </w:pPr>
      <w:r w:rsidRPr="000A18FF">
        <w:rPr>
          <w:rFonts w:ascii="Times New Roman" w:hAnsi="Times New Roman" w:cs="Times New Roman"/>
          <w:b/>
          <w:lang w:val="fr-FR"/>
        </w:rPr>
        <w:t>Structura confesională a populaţiei</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 xml:space="preserve">Pe teritoriul Polului de creştere Timişoara coexistă paşnic cetăţeni grupaţi în 21 etnii şi 16 religii, aceast aspect reflectând două trăsături majore ale populaţiei din zonă, şi anume interculturalitatea şi gradul ridicat de toleranţă. </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Structura confesională a populaţiei la recensământul din 2011, pentru municipiu, a fost următoarea: ortodocși (75,0 %), romano-catolici (7,1 %), penticostali (2,0 %), reformaţi (1,3 %), baptişti (1,2 %), greco-catolici (1,1 %), ortodocși sârbi (0,8 %), musulmani (0,3 %), martorii lui Iehova (0,1 %), creştini după evanghelie (0,1 %), alte religii (10,8%), iar pentru arealul de influenţă: ortodocşi (77,7%), penticostali (5,7%), romano-catolici (5,2%), reformaţi (1,5%), baptişti (1,3 %), greco-catolici (0,7%), ortodocşi sârbi (0,4 %), etc.</w:t>
      </w:r>
    </w:p>
    <w:p w:rsidR="00F064AE" w:rsidRPr="000A18FF" w:rsidRDefault="00F064AE" w:rsidP="006257CA">
      <w:pPr>
        <w:spacing w:after="0" w:line="240" w:lineRule="auto"/>
        <w:ind w:firstLine="576"/>
        <w:jc w:val="both"/>
        <w:rPr>
          <w:rFonts w:ascii="Times New Roman" w:hAnsi="Times New Roman" w:cs="Times New Roman"/>
          <w:lang w:val="fr-FR"/>
        </w:rPr>
      </w:pPr>
    </w:p>
    <w:p w:rsidR="00F064AE" w:rsidRPr="000A18FF" w:rsidRDefault="00F064AE" w:rsidP="006257CA">
      <w:pPr>
        <w:pStyle w:val="ListParagraph"/>
        <w:numPr>
          <w:ilvl w:val="0"/>
          <w:numId w:val="2"/>
        </w:numPr>
        <w:spacing w:after="0" w:line="240" w:lineRule="auto"/>
        <w:jc w:val="both"/>
        <w:rPr>
          <w:rFonts w:ascii="Times New Roman" w:hAnsi="Times New Roman" w:cs="Times New Roman"/>
          <w:lang w:val="fr-FR"/>
        </w:rPr>
      </w:pPr>
      <w:r w:rsidRPr="000A18FF">
        <w:rPr>
          <w:rFonts w:ascii="Times New Roman" w:hAnsi="Times New Roman" w:cs="Times New Roman"/>
          <w:b/>
          <w:lang w:val="fr-FR"/>
        </w:rPr>
        <w:t>Structura etnică a populaţiei</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Structura pe etnii la recensământul din 2011 pentru Polul de creştere Timişoara a fost următoarea: români 82,1 %, maghiari 4,7 %, sârbi 1,4 %, germani 1,2 %, rromi 0,8 %, bulgari 0,2 %, ucrainieni 0,2 %, slovaci 0,1 %, italieni 0,1 % (15).</w:t>
      </w:r>
    </w:p>
    <w:p w:rsidR="00F064AE" w:rsidRPr="000A18FF" w:rsidRDefault="00F064AE"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Timișoara și aria sa de influență se impun, astfel, ca un conglom</w:t>
      </w:r>
      <w:r w:rsidR="00391EBE" w:rsidRPr="000A18FF">
        <w:rPr>
          <w:rFonts w:ascii="Times New Roman" w:hAnsi="Times New Roman" w:cs="Times New Roman"/>
          <w:lang w:val="fr-FR"/>
        </w:rPr>
        <w:t>erat uman cu diversitate semnificativă</w:t>
      </w:r>
      <w:r w:rsidRPr="000A18FF">
        <w:rPr>
          <w:rFonts w:ascii="Times New Roman" w:hAnsi="Times New Roman" w:cs="Times New Roman"/>
          <w:lang w:val="fr-FR"/>
        </w:rPr>
        <w:t>, fapt care asigură sistemului demografic și c</w:t>
      </w:r>
      <w:r w:rsidR="00391EBE" w:rsidRPr="000A18FF">
        <w:rPr>
          <w:rFonts w:ascii="Times New Roman" w:hAnsi="Times New Roman" w:cs="Times New Roman"/>
          <w:lang w:val="fr-FR"/>
        </w:rPr>
        <w:t>ultural local o reziliență cresc</w:t>
      </w:r>
      <w:r w:rsidRPr="000A18FF">
        <w:rPr>
          <w:rFonts w:ascii="Times New Roman" w:hAnsi="Times New Roman" w:cs="Times New Roman"/>
          <w:lang w:val="fr-FR"/>
        </w:rPr>
        <w:t>ută, precum și un bun potențial de evoluție integratoare, garantat de tradițiile locale de toleranță, interculturalitate și civilizație.</w:t>
      </w:r>
    </w:p>
    <w:p w:rsidR="00D448BF" w:rsidRPr="000A18FF" w:rsidRDefault="00D448BF" w:rsidP="006257CA">
      <w:pPr>
        <w:spacing w:after="0" w:line="240" w:lineRule="auto"/>
        <w:ind w:firstLine="576"/>
        <w:jc w:val="both"/>
        <w:rPr>
          <w:rFonts w:ascii="Times New Roman" w:hAnsi="Times New Roman" w:cs="Times New Roman"/>
          <w:lang w:val="fr-FR"/>
        </w:rPr>
      </w:pPr>
    </w:p>
    <w:p w:rsidR="00D448BF" w:rsidRPr="000A18FF" w:rsidRDefault="00D448BF" w:rsidP="006257CA">
      <w:pPr>
        <w:spacing w:after="0" w:line="240" w:lineRule="auto"/>
        <w:ind w:firstLine="576"/>
        <w:jc w:val="both"/>
        <w:rPr>
          <w:rFonts w:ascii="Times New Roman" w:hAnsi="Times New Roman" w:cs="Times New Roman"/>
          <w:lang w:val="fr-FR"/>
        </w:rPr>
      </w:pPr>
      <w:r w:rsidRPr="000A18FF">
        <w:rPr>
          <w:rFonts w:ascii="Times New Roman" w:hAnsi="Times New Roman" w:cs="Times New Roman"/>
          <w:lang w:val="fr-FR"/>
        </w:rPr>
        <w:t xml:space="preserve">Din punct de vedere demografic, deci, municipiul Timișoara și zona sa de influență sunt caracterizate de un echilibru dinamic evident, care, fără a fi un factor de creștere decisiv în competiția cu </w:t>
      </w:r>
      <w:r w:rsidRPr="000A18FF">
        <w:rPr>
          <w:rFonts w:ascii="Times New Roman" w:hAnsi="Times New Roman" w:cs="Times New Roman"/>
          <w:lang w:val="fr-FR"/>
        </w:rPr>
        <w:lastRenderedPageBreak/>
        <w:t>alte aglomerații urbane din țară, se constituie într-un ferment animat de diversitate, potențial de înnoire și creativitate, capabil de a atrage fluxuri umane, de a le fixa și integra, stimulând astfel procesul investițional, creșterea forței de muncă, dezvoltarea social-economică și afirmarea culturală.</w:t>
      </w:r>
    </w:p>
    <w:p w:rsidR="00041016" w:rsidRPr="000A18FF" w:rsidRDefault="00041016" w:rsidP="006257CA">
      <w:pPr>
        <w:spacing w:after="0" w:line="240" w:lineRule="auto"/>
        <w:rPr>
          <w:rFonts w:ascii="Times New Roman" w:hAnsi="Times New Roman" w:cs="Times New Roman"/>
          <w:b/>
          <w:u w:val="single"/>
          <w:lang w:val="fr-FR"/>
        </w:rPr>
      </w:pPr>
    </w:p>
    <w:p w:rsidR="00041016" w:rsidRPr="000A18FF" w:rsidRDefault="00041016" w:rsidP="006257CA">
      <w:pPr>
        <w:spacing w:after="0" w:line="240" w:lineRule="auto"/>
        <w:jc w:val="center"/>
        <w:rPr>
          <w:rFonts w:ascii="Times New Roman" w:eastAsia="Times New Roman" w:hAnsi="Times New Roman" w:cs="Times New Roman"/>
          <w:b/>
          <w:u w:val="single"/>
          <w:lang w:val="fr-FR"/>
        </w:rPr>
      </w:pPr>
      <w:r w:rsidRPr="000A18FF">
        <w:rPr>
          <w:rFonts w:ascii="Times New Roman" w:eastAsia="Times New Roman" w:hAnsi="Times New Roman" w:cs="Times New Roman"/>
          <w:b/>
          <w:u w:val="single"/>
          <w:lang w:val="fr-FR"/>
        </w:rPr>
        <w:t>2. FORŢA DE MUNCĂ</w:t>
      </w:r>
    </w:p>
    <w:p w:rsidR="00041016" w:rsidRPr="000A18FF" w:rsidRDefault="00041016" w:rsidP="006257CA">
      <w:pPr>
        <w:spacing w:after="0" w:line="240" w:lineRule="auto"/>
        <w:rPr>
          <w:rFonts w:ascii="Times New Roman" w:eastAsia="Times New Roman" w:hAnsi="Times New Roman" w:cs="Times New Roman"/>
          <w:lang w:val="fr-FR"/>
        </w:rPr>
      </w:pP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Volumul si calitatea resurselor de muncă reprezintă un atuu incontestabil al dezvoltării viitoare a polului. La nivelul anului 2013, populaţia adultă (20-64 ani) reprezenta 70% din totalul populaţiei, pondere superioară celei naţionale (62,6%). Municipiul Timişoara îşi afirmă din această perspectivă caracterul de pol atractiv tradiţional şi principal rezervor de forţă de muncă, având o rată de activitate de 71%, faţă de 67 %, valoare înregistrată la nivelul comunelor  periurbane.</w:t>
      </w: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 xml:space="preserve">Profilul funcţional tradiţional complex al Polului de creştere, susţinut de structura diversificată a învăţământului, a perpetuat calificarea diversificată a resurselor de muncă şi deci a locurilor de muncă: 54,23% în servicii, 36,86% în industrie, 7,82% în construcţii şi 1,09% în agricultură. </w:t>
      </w:r>
    </w:p>
    <w:p w:rsidR="00041016" w:rsidRPr="000A18FF" w:rsidRDefault="00391EBE"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Î</w:t>
      </w:r>
      <w:r w:rsidR="00041016" w:rsidRPr="000A18FF">
        <w:rPr>
          <w:rFonts w:ascii="Times New Roman" w:eastAsia="Times New Roman" w:hAnsi="Times New Roman" w:cs="Times New Roman"/>
          <w:lang w:val="fr-FR"/>
        </w:rPr>
        <w:t>n perioada 2010-2012, numărul salariaţilor la nivelul Polului de creştere Timişoara a crescut cu 7,7%, sectoarele economice care au avut o contribuţie semnificativă la creşterea numărului locurilor de muncă fiind industria (11,7%), agricultura (11,6%) şi construcţiile (10,3%). În ceea ce priveşte sectorul serviciilor, creşterea numărului de salariaţi la nivelul Polului de creştere a fost de doar 0,92%, uşor mai ridicată în arealul de influenţă (1,44%), comparativ cu municipiul Timişoara (0,89%).</w:t>
      </w: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Municipiul Timişoara concentrează 95,14% din numărul locurilor de muncă din Polul de creştere, în virtutea rolului său de polarizare complexă a unei vaste arii regionale</w:t>
      </w:r>
      <w:r w:rsidR="00D448BF" w:rsidRPr="000A18FF">
        <w:rPr>
          <w:rFonts w:ascii="Times New Roman" w:eastAsia="Times New Roman" w:hAnsi="Times New Roman" w:cs="Times New Roman"/>
          <w:lang w:val="fr-FR"/>
        </w:rPr>
        <w:t>,</w:t>
      </w:r>
      <w:r w:rsidRPr="000A18FF">
        <w:rPr>
          <w:rFonts w:ascii="Times New Roman" w:eastAsia="Times New Roman" w:hAnsi="Times New Roman" w:cs="Times New Roman"/>
          <w:lang w:val="fr-FR"/>
        </w:rPr>
        <w:t xml:space="preserve"> şi se remarcă prin preponderenţa locurilor de muncă din sectorul terţiar (56,94 % din totalul locurilor de muncă).</w:t>
      </w: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Zona de influenţă prezintă, similar hinterland-urilor marilor oraşe, beneficiare ale exurbanizării activităţilor economice, un profil dominat de sectorul servicii</w:t>
      </w:r>
      <w:r w:rsidR="00391EBE" w:rsidRPr="000A18FF">
        <w:rPr>
          <w:rFonts w:ascii="Times New Roman" w:eastAsia="Times New Roman" w:hAnsi="Times New Roman" w:cs="Times New Roman"/>
          <w:lang w:val="fr-FR"/>
        </w:rPr>
        <w:t>lor</w:t>
      </w:r>
      <w:r w:rsidRPr="000A18FF">
        <w:rPr>
          <w:rFonts w:ascii="Times New Roman" w:eastAsia="Times New Roman" w:hAnsi="Times New Roman" w:cs="Times New Roman"/>
          <w:lang w:val="fr-FR"/>
        </w:rPr>
        <w:t>, care concentrează 52,9% din locurile de</w:t>
      </w:r>
      <w:r w:rsidR="00D448BF" w:rsidRPr="000A18FF">
        <w:rPr>
          <w:rFonts w:ascii="Times New Roman" w:eastAsia="Times New Roman" w:hAnsi="Times New Roman" w:cs="Times New Roman"/>
          <w:lang w:val="fr-FR"/>
        </w:rPr>
        <w:t xml:space="preserve"> muncă şi de industrie (26,06%)</w:t>
      </w:r>
      <w:r w:rsidRPr="000A18FF">
        <w:rPr>
          <w:rFonts w:ascii="Times New Roman" w:eastAsia="Times New Roman" w:hAnsi="Times New Roman" w:cs="Times New Roman"/>
          <w:lang w:val="fr-FR"/>
        </w:rPr>
        <w:t>. Ponderea modestă a zonei de influenţă în numărul de locuri de muncă al polului de creştere (4,85%), corelat cu numărul mic de locuri de muncă din agricultură (0,45%) în pofida unui potenţial agricol ridicat şi a unei cereri urbane ridicate pentru produse agricole şi agroalimentare, evidenţiază drept oportună dezvoltarea unor servicii pentru sustinerea agriculturii.</w:t>
      </w: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 xml:space="preserve">Structura pe nivele de instruire a resurselor de muncă reprezintă o premisă la fel de favorabilă (27,9 % din populatie este absolventă de învăţământ superior şi 62,2% de învăţământ secundar). </w:t>
      </w:r>
    </w:p>
    <w:p w:rsidR="00041016" w:rsidRPr="000A18FF" w:rsidRDefault="00041016" w:rsidP="006257CA">
      <w:pPr>
        <w:spacing w:after="0" w:line="240" w:lineRule="auto"/>
        <w:ind w:firstLine="720"/>
        <w:jc w:val="both"/>
        <w:rPr>
          <w:rFonts w:ascii="Times New Roman" w:eastAsia="Times New Roman" w:hAnsi="Times New Roman" w:cs="Times New Roman"/>
          <w:lang w:val="fr-FR"/>
        </w:rPr>
      </w:pPr>
      <w:r w:rsidRPr="000A18FF">
        <w:rPr>
          <w:rFonts w:ascii="Times New Roman" w:eastAsia="Times New Roman" w:hAnsi="Times New Roman" w:cs="Times New Roman"/>
          <w:lang w:val="fr-FR"/>
        </w:rPr>
        <w:t xml:space="preserve">Corelate cu tradiţia Timişoarei de centru universitar şi de cercetare, toate acestea constituie premise importante pentru previzionarea dezvoltării economice viitoare în arealul polului de creştere: o dezvoltare durabilă intensivă a sectoarelor productive de vârf, care utilizează tehnologii înalte şi a sectorului terţiar, ambele necesitând resurse umane cu calificare profesională superioară. </w:t>
      </w:r>
    </w:p>
    <w:p w:rsidR="00041016" w:rsidRPr="000A18FF" w:rsidRDefault="00041016" w:rsidP="006257CA">
      <w:pPr>
        <w:spacing w:after="0" w:line="240" w:lineRule="auto"/>
        <w:ind w:firstLine="720"/>
        <w:jc w:val="both"/>
        <w:rPr>
          <w:rFonts w:ascii="Times New Roman" w:hAnsi="Times New Roman" w:cs="Times New Roman"/>
          <w:lang w:val="fr-FR"/>
        </w:rPr>
      </w:pPr>
      <w:r w:rsidRPr="000A18FF">
        <w:rPr>
          <w:rFonts w:ascii="Times New Roman" w:eastAsia="Times New Roman" w:hAnsi="Times New Roman" w:cs="Times New Roman"/>
          <w:lang w:val="fr-FR"/>
        </w:rPr>
        <w:t>Datorită profilului funcţional complex şi a competitivităţii economice ridicate, arealul Polului de creştere a cunoscut,  în ultimii ani, o evoluţie favorabilă a ratei şomajului. În anul 2012, rata somajului era de 1%, sub media înregistrată la nivelul judeţului Timiş (2%). Şomajul în comunele din zona de influenţă a Timişoarei este mai ridicat decât în municipiu, înregistrând valori de 2,1% în Bucovăţ sau 1,8 % în comuna Şag. Ponderea relativ scăzută a şomerilor înregistraţi din totalul populaţiei active în comunele periurbane se datorează dezvoltării economice a acestora, care a dus la crearea de locuri de muncă, dar şi existenţei unei grupe de populaţie, în special în mediul rural, neînregistrată ca fiind în căutarea unui loc de muncă. Această grupă de populaţie poate constitui o rezervă importantă de forţă de muncă pentru Polul de creştere Timişoara.</w:t>
      </w:r>
    </w:p>
    <w:p w:rsidR="0038763A" w:rsidRPr="000A18FF" w:rsidRDefault="0038763A" w:rsidP="006257CA">
      <w:pPr>
        <w:spacing w:after="0" w:line="240" w:lineRule="auto"/>
        <w:jc w:val="both"/>
        <w:rPr>
          <w:rFonts w:ascii="Times New Roman" w:hAnsi="Times New Roman" w:cs="Times New Roman"/>
          <w:lang w:val="fr-FR"/>
        </w:rPr>
      </w:pPr>
    </w:p>
    <w:p w:rsidR="0038763A" w:rsidRPr="000A18FF" w:rsidRDefault="0038763A" w:rsidP="006257CA">
      <w:pPr>
        <w:spacing w:after="0" w:line="240" w:lineRule="auto"/>
        <w:jc w:val="center"/>
        <w:rPr>
          <w:rFonts w:ascii="Times New Roman" w:hAnsi="Times New Roman" w:cs="Times New Roman"/>
          <w:b/>
          <w:u w:val="single"/>
          <w:lang w:val="fr-FR"/>
        </w:rPr>
      </w:pPr>
      <w:r w:rsidRPr="000A18FF">
        <w:rPr>
          <w:rFonts w:ascii="Times New Roman" w:hAnsi="Times New Roman" w:cs="Times New Roman"/>
          <w:b/>
          <w:u w:val="single"/>
          <w:lang w:val="fr-FR"/>
        </w:rPr>
        <w:t>3. ECONOMIE</w:t>
      </w:r>
    </w:p>
    <w:p w:rsidR="0038763A" w:rsidRPr="000A18FF" w:rsidRDefault="0038763A" w:rsidP="006257CA">
      <w:pPr>
        <w:spacing w:after="0" w:line="240" w:lineRule="auto"/>
        <w:jc w:val="both"/>
        <w:rPr>
          <w:rFonts w:ascii="Times New Roman" w:hAnsi="Times New Roman" w:cs="Times New Roman"/>
          <w:b/>
          <w:u w:val="single"/>
          <w:lang w:val="fr-FR"/>
        </w:rPr>
      </w:pPr>
      <w:bookmarkStart w:id="0" w:name="_GoBack"/>
      <w:bookmarkEnd w:id="0"/>
    </w:p>
    <w:p w:rsidR="0038763A" w:rsidRPr="000A18FF" w:rsidRDefault="0038763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În clasamentul realizat în anul 2013 de către Ministerul Finanţelor pe baza performanţelor economice ale celor mai puternice judeţe ale ţării și ale municipiului București, județul Timiș ocupă locul </w:t>
      </w:r>
      <w:r w:rsidRPr="000A18FF">
        <w:rPr>
          <w:rFonts w:ascii="Times New Roman" w:hAnsi="Times New Roman" w:cs="Times New Roman"/>
          <w:lang w:val="fr-FR"/>
        </w:rPr>
        <w:lastRenderedPageBreak/>
        <w:t xml:space="preserve">al doilea la nivel național, după Capitală, la valoarea absolută a PIB (31 mld.lei, reprezentând 4,7% din PIB al României) și la valoarea PIB/locuitor (10.507 euro). În cadrul judeţului, peste 80% din rezultatul economic net este obţinut în Timişoara, acesta continuând să fie oraşul cu cele mai mari performanţe economice din vestul țării, susţinut și de armătura economică a multor altor localităţi din judeţ, în primul rând a celor din aureola sa periurbană (Giroc, Ghiroda, Dumbrăvița, Remetea Mare etc), componente ale Polului de creștere Timișoara.Ca urmare, putem afirma că nivelul de dezvoltare economică a Polului de creștere este unul ridicat, având în vedere concentrareacelei mai mari părţi a economiei reale a județului în cadrul acestuia și poziția remarcabila ocupată de  județului Timiș la nivel național la principalii indicatori economici. </w:t>
      </w:r>
    </w:p>
    <w:p w:rsidR="0038763A" w:rsidRPr="000A18FF" w:rsidRDefault="0038763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i/>
          <w:lang w:val="fr-FR"/>
        </w:rPr>
        <w:t>Cifra de afaceri</w:t>
      </w:r>
      <w:r w:rsidRPr="000A18FF">
        <w:rPr>
          <w:rFonts w:ascii="Times New Roman" w:hAnsi="Times New Roman" w:cs="Times New Roman"/>
          <w:lang w:val="fr-FR"/>
        </w:rPr>
        <w:t xml:space="preserve"> realizată de societăţile din Polul de creştere Timişoara a înregistrat o creștere de peste 40% în perioada 2006-2012, de la 12,6 mld lei (în anul 2006) la 17,9 mld. lei (în anul 2012). Creşterea cifrei de afaceri este evidentă în toate sectoarele economiei. </w:t>
      </w:r>
    </w:p>
    <w:p w:rsidR="0038763A" w:rsidRPr="000A18FF" w:rsidRDefault="0038763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În anul 2012, din volumul total al cifrei de afaceri realizat de Polul de creştere(analizat pe baza bilanţurilor depuse la DGFP Timiș), contribuţia municipiului Timişoara a fost de 78,6%, iar cea a celor 14 comune componente, de 21,4%. Comunele periurbane cu cele mai mari cifre de afaceri în anul 2012 au fost Giroc (975,14 mil.lei), Ghiroda (713,31), Dumbrăviţa (675,72), Remetea Mare (292,34), Orţişoara (278,24), Săcălaz (230,68), Giarmata (168,07), Moşniţa Nouă (145,07) şi Şag (139,87), celelalte comune înregistrând valori sub 100 mil. lei. </w:t>
      </w:r>
    </w:p>
    <w:p w:rsidR="0038763A" w:rsidRPr="000A18FF" w:rsidRDefault="0038763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Analiza ponderii sectoarelor economiei în realizarea cifrei de afaceri în aceeaşi perioadă, pe baza datelor din bilanţurile societăţilor comerciale depuse la DGFP Timiş, evidenţiază rolul major al sectorului serviciilor în economia locală, ponderea cifrei de afaceri din acest sector fiind de 61,5%, urmat de sectorul industrial (22,5%), sectorul construcţiilor (12,5%) şi sectorul agricol (3,5%).</w:t>
      </w:r>
    </w:p>
    <w:p w:rsidR="0038763A" w:rsidRPr="000A18FF" w:rsidRDefault="0038763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Cu o creştere semnificativă a cifrei de afaceri în valoare absolută, de la 7,5 mld. lei în anul 2006  la 11,2 mld. lei în anul 2012,</w:t>
      </w:r>
      <w:r w:rsidR="004D69E6" w:rsidRPr="000A18FF">
        <w:rPr>
          <w:rFonts w:ascii="Times New Roman" w:hAnsi="Times New Roman" w:cs="Times New Roman"/>
          <w:lang w:val="fr-FR"/>
        </w:rPr>
        <w:t xml:space="preserve"> </w:t>
      </w:r>
      <w:r w:rsidRPr="000A18FF">
        <w:rPr>
          <w:rFonts w:ascii="Times New Roman" w:hAnsi="Times New Roman" w:cs="Times New Roman"/>
          <w:b/>
          <w:i/>
          <w:lang w:val="fr-FR"/>
        </w:rPr>
        <w:t>sectorul serviciilor</w:t>
      </w:r>
      <w:r w:rsidRPr="000A18FF">
        <w:rPr>
          <w:rFonts w:ascii="Times New Roman" w:hAnsi="Times New Roman" w:cs="Times New Roman"/>
          <w:lang w:val="fr-FR"/>
        </w:rPr>
        <w:t xml:space="preserve"> reprezintă cel mai dinamic sector de activitate al Polului de creştere, contribuind  în cea mai mare măsură la dezvoltarea economică a acestuia (61,5% din volumul total al cifrei de afaceri a Polului). Această dinamică pozitivă se observă nu numai la nivelul Municipiului Timişoara, care concentrează cea mai mare parte din servicii, ci şi la nivelul comunelor din arealul de influenţă, sectorul serviciilor fiind bine reprezentat atât ca valoare, cât şi ca pondere din volumul total al cifrei de afaceri al acestora, în comunele Dumbrăviţa (445 mil. lei, 66%), Orţişoara (206 mil. lei, 74%) şi Remetea Mare (180 mil. lei, 61%). Alături de comerţ, care are rolul cel mai important (61,27% din cifra de afaceri a sectorului servicii al Polului de creştere Timişoara), se remarcă o dezvoltare puternică a </w:t>
      </w:r>
      <w:r w:rsidRPr="000A18FF">
        <w:rPr>
          <w:rFonts w:ascii="Times New Roman" w:hAnsi="Times New Roman" w:cs="Times New Roman"/>
          <w:i/>
          <w:lang w:val="fr-FR"/>
        </w:rPr>
        <w:t>serviciilor financiar-bancare</w:t>
      </w:r>
      <w:r w:rsidRPr="000A18FF">
        <w:rPr>
          <w:rFonts w:ascii="Times New Roman" w:hAnsi="Times New Roman" w:cs="Times New Roman"/>
          <w:lang w:val="fr-FR"/>
        </w:rPr>
        <w:t xml:space="preserve">, a </w:t>
      </w:r>
      <w:r w:rsidRPr="000A18FF">
        <w:rPr>
          <w:rFonts w:ascii="Times New Roman" w:hAnsi="Times New Roman" w:cs="Times New Roman"/>
          <w:i/>
          <w:lang w:val="fr-FR"/>
        </w:rPr>
        <w:t>serviciilor informatice</w:t>
      </w:r>
      <w:r w:rsidRPr="000A18FF">
        <w:rPr>
          <w:rFonts w:ascii="Times New Roman" w:hAnsi="Times New Roman" w:cs="Times New Roman"/>
          <w:lang w:val="fr-FR"/>
        </w:rPr>
        <w:t xml:space="preserve">, dar şi o diversificare a </w:t>
      </w:r>
      <w:r w:rsidRPr="000A18FF">
        <w:rPr>
          <w:rFonts w:ascii="Times New Roman" w:hAnsi="Times New Roman" w:cs="Times New Roman"/>
          <w:i/>
          <w:lang w:val="fr-FR"/>
        </w:rPr>
        <w:t>serviciilor pentru populaţie</w:t>
      </w:r>
      <w:r w:rsidRPr="000A18FF">
        <w:rPr>
          <w:rFonts w:ascii="Times New Roman" w:hAnsi="Times New Roman" w:cs="Times New Roman"/>
          <w:lang w:val="fr-FR"/>
        </w:rPr>
        <w:t xml:space="preserve">. Este de remarcat, de asemenea, dezvoltarea </w:t>
      </w:r>
      <w:r w:rsidRPr="000A18FF">
        <w:rPr>
          <w:rFonts w:ascii="Times New Roman" w:hAnsi="Times New Roman" w:cs="Times New Roman"/>
          <w:i/>
          <w:lang w:val="fr-FR"/>
        </w:rPr>
        <w:t>serviciilor de cunoaştere intensivă</w:t>
      </w:r>
      <w:r w:rsidRPr="000A18FF">
        <w:rPr>
          <w:rFonts w:ascii="Times New Roman" w:hAnsi="Times New Roman" w:cs="Times New Roman"/>
          <w:lang w:val="fr-FR"/>
        </w:rPr>
        <w:t xml:space="preserve"> (KIBS), iar în cadrul acestora a </w:t>
      </w:r>
      <w:r w:rsidRPr="000A18FF">
        <w:rPr>
          <w:rFonts w:ascii="Times New Roman" w:hAnsi="Times New Roman" w:cs="Times New Roman"/>
          <w:i/>
          <w:lang w:val="fr-FR"/>
        </w:rPr>
        <w:t>serviciilor de consultanţă către întreprinderi</w:t>
      </w:r>
      <w:r w:rsidRPr="000A18FF">
        <w:rPr>
          <w:rFonts w:ascii="Times New Roman" w:hAnsi="Times New Roman" w:cs="Times New Roman"/>
          <w:lang w:val="fr-FR"/>
        </w:rPr>
        <w:t xml:space="preserve"> (management şi consultanţă în management, cercetare-dezvoltare, arhitectură şi inginerie, servicii de sondaje, analiză tehnică,activităţi juridice, de contabilitate şi consultanţă fiscală), servicii cu grad ridicat de rentabilitate, care folosesc forţă de muncă cu pregătire profesională superioară – specifică Polului de creştere Timişoara. Aceste tipuri de servicii sunt oferite atât de instituții locale specializate (CCIAT), dar și de către firme naţionale şi internaţionale (Price Waterhouse Coopers, Ernst &amp; Young, KPMG etc). În cazul acestor categorii de servicii este importantă creşterea flexibilităţii organizatorice, care să permită o mobilitate mai ridicată a angajaţilor.În schimb, </w:t>
      </w:r>
      <w:r w:rsidRPr="000A18FF">
        <w:rPr>
          <w:rFonts w:ascii="Times New Roman" w:hAnsi="Times New Roman" w:cs="Times New Roman"/>
          <w:i/>
          <w:lang w:val="fr-FR"/>
        </w:rPr>
        <w:t>serviciile pentru încurajarea şi susţinerea agriculturii</w:t>
      </w:r>
      <w:r w:rsidRPr="000A18FF">
        <w:rPr>
          <w:rFonts w:ascii="Times New Roman" w:hAnsi="Times New Roman" w:cs="Times New Roman"/>
          <w:lang w:val="fr-FR"/>
        </w:rPr>
        <w:t>sunt slab dezvoltate la nivelul arealului de influență al Polului de creștere, deși au potențial important de creștere.</w:t>
      </w:r>
    </w:p>
    <w:p w:rsidR="0038763A" w:rsidRPr="000A18FF" w:rsidRDefault="0038763A" w:rsidP="006257CA">
      <w:pPr>
        <w:pStyle w:val="Corptext31"/>
        <w:ind w:firstLine="720"/>
        <w:rPr>
          <w:szCs w:val="22"/>
        </w:rPr>
      </w:pPr>
      <w:r w:rsidRPr="000A18FF">
        <w:rPr>
          <w:b/>
          <w:i/>
          <w:szCs w:val="22"/>
        </w:rPr>
        <w:t>Sectorul industrial</w:t>
      </w:r>
      <w:r w:rsidRPr="000A18FF">
        <w:rPr>
          <w:szCs w:val="22"/>
        </w:rPr>
        <w:t xml:space="preserve"> continuă să aibă o influenţă semnificativă în dezvoltarea economică a Polului de Creştere Timişoara, contribuind cu 22,5% la formarea cifrei de afaceri. Numărul ridicat al marilor contribuabili, majoritatea în sectorul secundar, consolidează poziţia industriei timişorene în creşterea economiei locale. În ultimii ani, se constată o dezvoltare deosebită a unor ramuri industriale noi, moderne şi dinamice, cum sunt industria automotive,industria electronică şi electrotehnică, industriade software, producția de biostimulatori.Dinamica acestor industrii se datorează în principal marilor investitori străini </w:t>
      </w:r>
      <w:r w:rsidRPr="000A18FF">
        <w:rPr>
          <w:szCs w:val="22"/>
        </w:rPr>
        <w:lastRenderedPageBreak/>
        <w:t xml:space="preserve">localizați în Timişoara şi în zonele învecinate oraşului, care au stimulat și afirmarea unor întreprinzători locali. Concentrarea spaţială a firmelor din sectorul Tehnologiei Informaţiei şi Comunicaţiilor (TIC), de exemplu, şi consolidarea legăturilor dintre actorii acestui sistem au condus la înfiinţarea în anul 2011 a unui Cluster Regional de Tehnologia Informaţiei și a Comunicaţiilor – Regiunea Vest. </w:t>
      </w:r>
    </w:p>
    <w:p w:rsidR="0038763A" w:rsidRPr="000A18FF" w:rsidRDefault="0038763A" w:rsidP="006257CA">
      <w:pPr>
        <w:pStyle w:val="Corptext31"/>
        <w:ind w:firstLine="720"/>
        <w:rPr>
          <w:szCs w:val="22"/>
        </w:rPr>
      </w:pPr>
      <w:r w:rsidRPr="000A18FF">
        <w:rPr>
          <w:szCs w:val="22"/>
        </w:rPr>
        <w:t>Activităţile industriale cu tradiţie (industria textilă, industria încălţămintei, industria alimentară) se păstrează încă în cadrul Polului de creștere, însă numărul unităților productive din aceste industrii s-a redus foarte mult prin intrarea în declin sau închiderea a numeroase întreprinderi de profil consacrate (Pasmatex, Uzinele Textile Timişoara, Filty, Modern etc.).Deşi în aceste sectoare s-au dezvoltat alte investiţii locale (Bontimes, FanyLux etc.), care au preluat o parte din forţa de muncă bine calificată, precum și spiritul de întreprindere consacrat în unitățile respective, aceste noi investiții nu au reușit să oprească declinul sectoarelor în cauză.</w:t>
      </w:r>
    </w:p>
    <w:p w:rsidR="0038763A" w:rsidRPr="000A18FF" w:rsidRDefault="0038763A" w:rsidP="006257CA">
      <w:pPr>
        <w:pStyle w:val="Corptext31"/>
        <w:ind w:firstLine="720"/>
        <w:rPr>
          <w:szCs w:val="22"/>
        </w:rPr>
      </w:pPr>
      <w:r w:rsidRPr="000A18FF">
        <w:rPr>
          <w:szCs w:val="22"/>
        </w:rPr>
        <w:t xml:space="preserve">În ceea ce priveşte </w:t>
      </w:r>
      <w:r w:rsidRPr="000A18FF">
        <w:rPr>
          <w:i/>
          <w:szCs w:val="22"/>
        </w:rPr>
        <w:t>organizarea teritorială a industriei</w:t>
      </w:r>
      <w:r w:rsidRPr="000A18FF">
        <w:rPr>
          <w:szCs w:val="22"/>
        </w:rPr>
        <w:t xml:space="preserve"> în cadrul Polului de creştere, Municipiul Timişoara concentrează cea mai mare parte din activităţile industriale, contribuția acestora la formarea cifrei de afaceri în industrie la nivelul polului fiind de peste 67%. Dinspre zonele industriale mai vechi sau mai noi ale Timișoarei a avut loc un proces de difuziune a industriei preponderent spre comunele din partea de sud a oraşului (Giroc, Sînmihaiu Român, Şag) şi spre cele din partea de est (Ghiroda, Remetea Mare, Dumbrăviţa, Giarmata).Între principalele atuuri ale acestor comune în atragerea investitorilor din industrie amintim: accesul facil, terenurile disponibile la preţuri scăzute, fondul imobiliar înnoit şi mediul natural nepoluat şi atrăgător.</w:t>
      </w:r>
    </w:p>
    <w:p w:rsidR="0038763A" w:rsidRPr="000A18FF" w:rsidRDefault="0038763A" w:rsidP="006257CA">
      <w:pPr>
        <w:pStyle w:val="Corptext31"/>
        <w:ind w:firstLine="720"/>
        <w:rPr>
          <w:szCs w:val="22"/>
        </w:rPr>
      </w:pPr>
      <w:r w:rsidRPr="000A18FF">
        <w:rPr>
          <w:b/>
          <w:i/>
          <w:szCs w:val="22"/>
        </w:rPr>
        <w:t>Construcţiile</w:t>
      </w:r>
      <w:r w:rsidRPr="000A18FF">
        <w:rPr>
          <w:szCs w:val="22"/>
        </w:rPr>
        <w:t xml:space="preserve"> reprezintă un domeniu important în economia Polului de Creştere Timişoara, contribuţia sa la formarea cifrei totale de afaceri fiind de 12,5% (2.257 mil. lei). Şi în cadrul acestui domeniu, aportul Timişoarei la formarea cifrei de afaceri (84,29%) este net superior celui al comunelor din arealul de influenţă (15,71%). Sectorul construcţiilor este dominat de construcţiile de clădiri rezidenţiale, de construcţia de drumuri şi autostrăzi, precum şi de lucrările de instalaţii sanitare, de încălzire, termice şi de gaz.</w:t>
      </w:r>
    </w:p>
    <w:p w:rsidR="0038763A" w:rsidRPr="000A18FF" w:rsidRDefault="0038763A" w:rsidP="006257CA">
      <w:pPr>
        <w:pStyle w:val="BodyTextIndent"/>
        <w:spacing w:after="0"/>
        <w:ind w:left="0" w:firstLine="720"/>
        <w:jc w:val="both"/>
        <w:rPr>
          <w:sz w:val="22"/>
          <w:szCs w:val="22"/>
          <w:lang w:val="ro-RO"/>
        </w:rPr>
      </w:pPr>
      <w:r w:rsidRPr="000A18FF">
        <w:rPr>
          <w:sz w:val="22"/>
          <w:szCs w:val="22"/>
          <w:lang w:val="ro-RO"/>
        </w:rPr>
        <w:t>Ponderea ridicată a terenurilor agricole (78% din suprafaţa totală a Polului de creştere), calitatea superioară a solurilor şi existenţa unei mari pieţe de desfacere urbane în apropiere reprezintă factori importanți în</w:t>
      </w:r>
      <w:r w:rsidR="0042438B" w:rsidRPr="000A18FF">
        <w:rPr>
          <w:sz w:val="22"/>
          <w:szCs w:val="22"/>
          <w:lang w:val="ro-RO"/>
        </w:rPr>
        <w:t xml:space="preserve"> </w:t>
      </w:r>
      <w:r w:rsidRPr="000A18FF">
        <w:rPr>
          <w:b/>
          <w:i/>
          <w:sz w:val="22"/>
          <w:szCs w:val="22"/>
          <w:lang w:val="ro-RO"/>
        </w:rPr>
        <w:t>dezvoltarea agriculturii</w:t>
      </w:r>
      <w:r w:rsidRPr="000A18FF">
        <w:rPr>
          <w:sz w:val="22"/>
          <w:szCs w:val="22"/>
          <w:lang w:val="ro-RO"/>
        </w:rPr>
        <w:t xml:space="preserve"> în cadrul zonei rurale a Polului de creştere. În anul 2012, contribuția sectorului agricol la formarea cifrei de afaceri a Polului de creștere a fost de 3,5%, în ușoară creștere față de anul 2006 (3%). </w:t>
      </w:r>
    </w:p>
    <w:p w:rsidR="0038763A" w:rsidRPr="000A18FF" w:rsidRDefault="0038763A" w:rsidP="006257CA">
      <w:pPr>
        <w:pStyle w:val="BodyTextIndent"/>
        <w:spacing w:after="0"/>
        <w:ind w:left="0" w:firstLine="720"/>
        <w:jc w:val="both"/>
        <w:rPr>
          <w:sz w:val="22"/>
          <w:szCs w:val="22"/>
          <w:lang w:val="ro-RO"/>
        </w:rPr>
      </w:pPr>
      <w:r w:rsidRPr="000A18FF">
        <w:rPr>
          <w:sz w:val="22"/>
          <w:szCs w:val="22"/>
          <w:lang w:val="ro-RO"/>
        </w:rPr>
        <w:t>Deşi există nevoi ridicate de consum zilnic de produse agricole proaspete la nivelul pieţei urbane,se înregistrează o slaba dezvoltare a horticulturii și a producţiei legumicole, în favoarea marilor culturi de câmp (cultivarea cerealelor pentru boabe reprezintă peste 50% din cifra totală de afaceri din agricultură în comune precum Săcălaz, Orţişoara și Becicherecu Mic).Cauza principală o constituie lipsa amenajărilor pentru irigaţii în spaţiile cu soluri fertile, la care se adaugă orientarea forţei de muncă rurale tinere spre alte activităţi, de tip urban, și îmbătrânirea celei specializate în agricultură, din categoria micilor producători. În ultimii ani, produsele locale proaspeteau devenit din ce în ce mai rare în reţeaua comercială din Timișoara sau din comunele Polului, sursele de aprovizionare cu aceste tipuri de produse depășind granițele țării.</w:t>
      </w:r>
    </w:p>
    <w:p w:rsidR="0038763A" w:rsidRPr="000A18FF" w:rsidRDefault="0038763A" w:rsidP="006257CA">
      <w:pPr>
        <w:pStyle w:val="BodyTextIndent"/>
        <w:spacing w:after="0"/>
        <w:ind w:left="0"/>
        <w:jc w:val="both"/>
        <w:rPr>
          <w:sz w:val="22"/>
          <w:szCs w:val="22"/>
          <w:lang w:val="ro-RO"/>
        </w:rPr>
      </w:pPr>
      <w:r w:rsidRPr="000A18FF">
        <w:rPr>
          <w:sz w:val="22"/>
          <w:szCs w:val="22"/>
          <w:lang w:val="ro-RO"/>
        </w:rPr>
        <w:t>Introducerea în Timişoara, începând cu anul 2014, a pieţelor agroalimentare volante, care se dovedesc a avea un mare succes, poate reprezenta, în perspectivă, un bun stimulent pentru dezvoltarea producţiei legumicole şi horticole în spaţiul rural al Polului de creştere Timişoara.</w:t>
      </w:r>
    </w:p>
    <w:p w:rsidR="0038763A" w:rsidRPr="000A18FF" w:rsidRDefault="0038763A" w:rsidP="006257CA">
      <w:pPr>
        <w:pStyle w:val="BodyTextIndent"/>
        <w:spacing w:after="0"/>
        <w:ind w:left="0" w:firstLine="720"/>
        <w:jc w:val="both"/>
        <w:rPr>
          <w:sz w:val="22"/>
          <w:szCs w:val="22"/>
          <w:lang w:val="ro-RO"/>
        </w:rPr>
      </w:pPr>
      <w:r w:rsidRPr="000A18FF">
        <w:rPr>
          <w:sz w:val="22"/>
          <w:szCs w:val="22"/>
          <w:lang w:val="ro-RO"/>
        </w:rPr>
        <w:t xml:space="preserve">Productivitatea în agricultură se menţine la valori scăzute în comparaţie cu potenţialul ridicat al zonei, datorită stadiului actual nesatisfăcător de modernizare al agriculturii şi gradului redus de asociere în vederea exploatării terenurilor agricole. În scopul rentabilizării agriculturii, este nevoie de dezvoltarea la nivelul comunelor din cadrul Polului de creştere a unor lanţuri complete de producţie, care să implice atât colectarea produselor agricole (centre de colectare), cât şi procesarea lor (mici activităţi industriale). De asemenea, dezvoltarea unor servicii pentru încurajarea şi susţinerea agriculturii, cât şi creşterea nivelului </w:t>
      </w:r>
      <w:r w:rsidRPr="000A18FF">
        <w:rPr>
          <w:sz w:val="22"/>
          <w:szCs w:val="22"/>
          <w:lang w:val="ro-RO"/>
        </w:rPr>
        <w:lastRenderedPageBreak/>
        <w:t xml:space="preserve">de asociere a producătorilor agricoli  reprezintă factori determinanţi în creşterea productivităţii acestui sector al economiei. </w:t>
      </w:r>
    </w:p>
    <w:p w:rsidR="0042438B" w:rsidRPr="000A18FF" w:rsidRDefault="0042438B" w:rsidP="006257CA">
      <w:pPr>
        <w:spacing w:after="0" w:line="240" w:lineRule="auto"/>
        <w:ind w:firstLine="720"/>
        <w:jc w:val="both"/>
        <w:rPr>
          <w:rFonts w:ascii="Times New Roman" w:hAnsi="Times New Roman" w:cs="Times New Roman"/>
          <w:lang w:val="ro-RO"/>
        </w:rPr>
      </w:pPr>
    </w:p>
    <w:p w:rsidR="0038763A" w:rsidRPr="007D7612" w:rsidRDefault="006257CA" w:rsidP="006257CA">
      <w:pPr>
        <w:tabs>
          <w:tab w:val="left" w:pos="700"/>
        </w:tabs>
        <w:spacing w:after="0" w:line="240" w:lineRule="auto"/>
        <w:jc w:val="both"/>
        <w:rPr>
          <w:rFonts w:ascii="Times New Roman" w:hAnsi="Times New Roman" w:cs="Times New Roman"/>
          <w:lang w:val="ro-RO"/>
        </w:rPr>
      </w:pPr>
      <w:r w:rsidRPr="007D7612">
        <w:rPr>
          <w:rFonts w:ascii="Times New Roman" w:hAnsi="Times New Roman" w:cs="Times New Roman"/>
          <w:lang w:val="ro-RO"/>
        </w:rPr>
        <w:tab/>
      </w:r>
      <w:r w:rsidR="0038763A" w:rsidRPr="007D7612">
        <w:rPr>
          <w:rFonts w:ascii="Times New Roman" w:hAnsi="Times New Roman" w:cs="Times New Roman"/>
          <w:lang w:val="ro-RO"/>
        </w:rPr>
        <w:t xml:space="preserve">În ceea ce priveşte </w:t>
      </w:r>
      <w:r w:rsidR="0038763A" w:rsidRPr="007D7612">
        <w:rPr>
          <w:rFonts w:ascii="Times New Roman" w:hAnsi="Times New Roman" w:cs="Times New Roman"/>
          <w:b/>
          <w:i/>
          <w:lang w:val="ro-RO"/>
        </w:rPr>
        <w:t>investiţiile străine</w:t>
      </w:r>
      <w:r w:rsidR="0038763A" w:rsidRPr="007D7612">
        <w:rPr>
          <w:rFonts w:ascii="Times New Roman" w:hAnsi="Times New Roman" w:cs="Times New Roman"/>
          <w:i/>
          <w:lang w:val="ro-RO"/>
        </w:rPr>
        <w:t>,</w:t>
      </w:r>
      <w:r w:rsidR="0038763A" w:rsidRPr="007D7612">
        <w:rPr>
          <w:rFonts w:ascii="Times New Roman" w:hAnsi="Times New Roman" w:cs="Times New Roman"/>
          <w:lang w:val="ro-RO"/>
        </w:rPr>
        <w:t xml:space="preserve"> pe teritoriul Polului de Creştere Timişoara sunt concentrate peste 70% din numărul de firme cu capital străin din judeţul Timiş şi peste 85% din volumul total al investiţiilor la nivelul judeţului, municipiul Timişoara reprezentând principalul spaţiu investiţional al județului Timiș. Localizarea prioritară a investiţiilor străine în municipiul Timişoara a fost determinată de dezvoltarea insuficientă a infrastructurii de afaceri în comunele din arealul său de influenţă.</w:t>
      </w:r>
    </w:p>
    <w:p w:rsidR="0038763A" w:rsidRPr="007D7612" w:rsidRDefault="006257CA" w:rsidP="006257CA">
      <w:pPr>
        <w:tabs>
          <w:tab w:val="left" w:pos="700"/>
        </w:tabs>
        <w:spacing w:after="0" w:line="240" w:lineRule="auto"/>
        <w:jc w:val="both"/>
        <w:rPr>
          <w:rFonts w:ascii="Times New Roman" w:hAnsi="Times New Roman" w:cs="Times New Roman"/>
          <w:lang w:val="ro-RO"/>
        </w:rPr>
      </w:pPr>
      <w:r w:rsidRPr="007D7612">
        <w:rPr>
          <w:rFonts w:ascii="Times New Roman" w:hAnsi="Times New Roman" w:cs="Times New Roman"/>
          <w:lang w:val="ro-RO"/>
        </w:rPr>
        <w:tab/>
      </w:r>
      <w:r w:rsidR="0038763A" w:rsidRPr="007D7612">
        <w:rPr>
          <w:rFonts w:ascii="Times New Roman" w:hAnsi="Times New Roman" w:cs="Times New Roman"/>
          <w:lang w:val="ro-RO"/>
        </w:rPr>
        <w:t>Investițiile străineau avut o contribuție esențială în dezvoltarea economică a Polului de creștere, în special a municipiului Timișoara, prin implementarea tehnologiilor avansate, anoilor standarde de calitate, know-how-urilor, mai ales în domeniul managementului activităților, dar și prin creearea de locuri de muncă, optimizarea alocării resurselor și stimularea comerțului.</w:t>
      </w:r>
    </w:p>
    <w:p w:rsidR="0038763A" w:rsidRPr="007D7612" w:rsidRDefault="006257CA" w:rsidP="006257CA">
      <w:pPr>
        <w:tabs>
          <w:tab w:val="left" w:pos="700"/>
        </w:tabs>
        <w:spacing w:after="0" w:line="240" w:lineRule="auto"/>
        <w:jc w:val="both"/>
        <w:rPr>
          <w:rFonts w:ascii="Times New Roman" w:hAnsi="Times New Roman" w:cs="Times New Roman"/>
          <w:lang w:val="ro-RO"/>
        </w:rPr>
      </w:pPr>
      <w:r w:rsidRPr="007D7612">
        <w:rPr>
          <w:rFonts w:ascii="Times New Roman" w:hAnsi="Times New Roman" w:cs="Times New Roman"/>
          <w:lang w:val="ro-RO"/>
        </w:rPr>
        <w:tab/>
      </w:r>
      <w:r w:rsidR="0038763A" w:rsidRPr="007D7612">
        <w:rPr>
          <w:rFonts w:ascii="Times New Roman" w:hAnsi="Times New Roman" w:cs="Times New Roman"/>
          <w:lang w:val="ro-RO"/>
        </w:rPr>
        <w:t>În scopul facilitării relaţiei investitorilor străini cu instituţiile publice şi creării de noi oportunităţi pentru alţi investitori,din anul 2011 fiinţează în TimişoaraClubul de Afaceri European pentru Investitorii Străini (European Business Club - EBS).</w:t>
      </w:r>
    </w:p>
    <w:p w:rsidR="0038763A" w:rsidRPr="000A18FF" w:rsidRDefault="0038763A" w:rsidP="006257CA">
      <w:pPr>
        <w:spacing w:after="0" w:line="240" w:lineRule="auto"/>
        <w:ind w:firstLine="360"/>
        <w:jc w:val="both"/>
        <w:rPr>
          <w:rFonts w:ascii="Times New Roman" w:hAnsi="Times New Roman" w:cs="Times New Roman"/>
          <w:lang w:val="fr-FR"/>
        </w:rPr>
      </w:pPr>
      <w:r w:rsidRPr="000A18FF">
        <w:rPr>
          <w:rFonts w:ascii="Times New Roman" w:hAnsi="Times New Roman" w:cs="Times New Roman"/>
          <w:lang w:val="fr-FR"/>
        </w:rPr>
        <w:t xml:space="preserve">În ceea ce privește </w:t>
      </w:r>
      <w:r w:rsidRPr="000A18FF">
        <w:rPr>
          <w:rFonts w:ascii="Times New Roman" w:hAnsi="Times New Roman" w:cs="Times New Roman"/>
          <w:b/>
          <w:i/>
          <w:lang w:val="fr-FR"/>
        </w:rPr>
        <w:t>infrastructura de afaceri</w:t>
      </w:r>
      <w:r w:rsidRPr="000A18FF">
        <w:rPr>
          <w:rFonts w:ascii="Times New Roman" w:hAnsi="Times New Roman" w:cs="Times New Roman"/>
          <w:lang w:val="fr-FR"/>
        </w:rPr>
        <w:t xml:space="preserve">, la nivelul Polului au fost amenajate </w:t>
      </w:r>
      <w:r w:rsidRPr="000A18FF">
        <w:rPr>
          <w:rFonts w:ascii="Times New Roman" w:hAnsi="Times New Roman" w:cs="Times New Roman"/>
          <w:i/>
          <w:lang w:val="fr-FR"/>
        </w:rPr>
        <w:t>parcuri industriale, ştiinţifice şi tehnologice</w:t>
      </w:r>
      <w:r w:rsidRPr="000A18FF">
        <w:rPr>
          <w:rFonts w:ascii="Times New Roman" w:hAnsi="Times New Roman" w:cs="Times New Roman"/>
          <w:lang w:val="fr-FR"/>
        </w:rPr>
        <w:t xml:space="preserve"> şi </w:t>
      </w:r>
      <w:r w:rsidRPr="000A18FF">
        <w:rPr>
          <w:rFonts w:ascii="Times New Roman" w:hAnsi="Times New Roman" w:cs="Times New Roman"/>
          <w:i/>
          <w:lang w:val="fr-FR"/>
        </w:rPr>
        <w:t>incubatoare de afaceri</w:t>
      </w:r>
      <w:r w:rsidRPr="000A18FF">
        <w:rPr>
          <w:rFonts w:ascii="Times New Roman" w:hAnsi="Times New Roman" w:cs="Times New Roman"/>
          <w:lang w:val="fr-FR"/>
        </w:rPr>
        <w:t xml:space="preserve">. Rolul acestora, în special al parcurilor tehnologice, este acela de a dezvolta potenţialul ştiinţific, tehnic şi economic la nivel de pol, de a atrage companii străine pentru a investi în activităţi de cercetare, transfer tehnologic şi de producţie, de a stimula cooperarea între mediul de afaceri şi de cercetare şi, nu în ultimul rând, de a crea noi locuri de muncă în sectorul tehnologiilor avansate. În vederea asigurării funcţionării optime a firmelor din domeniul Automotive în ceea ce priveşte prototiparea şi producţia de serie, testarea şi măsurarea de calitate, la Timişoara s-a decis înființarea unuiCentru Regional de Competenţe şi Dezvoltare a Furnizorilor din Sectorul Automotive – CERC. Activitatea de cercetare este prezentă şi la nivelul </w:t>
      </w:r>
      <w:r w:rsidR="00262B24" w:rsidRPr="000A18FF">
        <w:rPr>
          <w:rFonts w:ascii="Times New Roman" w:hAnsi="Times New Roman" w:cs="Times New Roman"/>
          <w:lang w:val="fr-FR"/>
        </w:rPr>
        <w:t>mai multor</w:t>
      </w:r>
      <w:r w:rsidRPr="000A18FF">
        <w:rPr>
          <w:rFonts w:ascii="Times New Roman" w:hAnsi="Times New Roman" w:cs="Times New Roman"/>
          <w:lang w:val="fr-FR"/>
        </w:rPr>
        <w:t xml:space="preserve"> comune din Polul de creştere (Giroc, Giarmata, Săcălaz, Dumbrăviţa, Remetea Mare), aici funcţionând 5 firme ce au ca obiect de activitate cercetarea - dezvoltarea în biotehnologie (câte una în fiecare comună amintită). Alături de aceste infrastructuri, este necesară şi amenajarea unor centre expoziţionale care să permită firmelor să-şi promoveze produsele. </w:t>
      </w:r>
    </w:p>
    <w:p w:rsidR="0038763A" w:rsidRPr="000A18FF" w:rsidRDefault="0038763A" w:rsidP="006257CA">
      <w:pPr>
        <w:pStyle w:val="BodyTextIndent"/>
        <w:spacing w:after="0"/>
        <w:ind w:left="0" w:firstLine="360"/>
        <w:jc w:val="both"/>
        <w:rPr>
          <w:sz w:val="22"/>
          <w:szCs w:val="22"/>
          <w:lang w:val="ro-RO"/>
        </w:rPr>
      </w:pPr>
      <w:r w:rsidRPr="000A18FF">
        <w:rPr>
          <w:sz w:val="22"/>
          <w:szCs w:val="22"/>
          <w:lang w:val="ro-RO"/>
        </w:rPr>
        <w:t>În concluzie, în vederea dezvoltării economice durabile a Polului de creştere Timişoara este necesară, în primul rând, consolidarea sectorului terţiar, cu accent pe dezvoltarea serviciilor inteligente cu valoare adăugată ridicată şi, în al doilea rând, menţinerea activităţilor în domeniul industriei de vârf, cu valoare adăugată mare</w:t>
      </w:r>
      <w:r w:rsidR="00262B24" w:rsidRPr="000A18FF">
        <w:rPr>
          <w:sz w:val="22"/>
          <w:szCs w:val="22"/>
          <w:lang w:val="ro-RO"/>
        </w:rPr>
        <w:t>, chiar multiplicarea lor</w:t>
      </w:r>
      <w:r w:rsidRPr="000A18FF">
        <w:rPr>
          <w:sz w:val="22"/>
          <w:szCs w:val="22"/>
          <w:lang w:val="ro-RO"/>
        </w:rPr>
        <w:t>.</w:t>
      </w:r>
    </w:p>
    <w:p w:rsidR="0038763A" w:rsidRPr="000A18FF" w:rsidRDefault="0038763A" w:rsidP="006257CA">
      <w:pPr>
        <w:pStyle w:val="BodyTextIndent"/>
        <w:spacing w:after="0"/>
        <w:ind w:left="0"/>
        <w:jc w:val="both"/>
        <w:rPr>
          <w:sz w:val="22"/>
          <w:szCs w:val="22"/>
          <w:lang w:val="ro-RO"/>
        </w:rPr>
      </w:pPr>
    </w:p>
    <w:p w:rsidR="0038763A" w:rsidRPr="000A18FF" w:rsidRDefault="003F6119" w:rsidP="006257CA">
      <w:pPr>
        <w:pStyle w:val="ListParagraph"/>
        <w:numPr>
          <w:ilvl w:val="0"/>
          <w:numId w:val="3"/>
        </w:numPr>
        <w:spacing w:after="0" w:line="240" w:lineRule="auto"/>
        <w:ind w:left="360"/>
        <w:jc w:val="center"/>
        <w:rPr>
          <w:rFonts w:ascii="Times New Roman" w:hAnsi="Times New Roman" w:cs="Times New Roman"/>
          <w:b/>
          <w:u w:val="single"/>
          <w:lang w:val="ro-RO"/>
        </w:rPr>
      </w:pPr>
      <w:r w:rsidRPr="000A18FF">
        <w:rPr>
          <w:rFonts w:ascii="Times New Roman" w:hAnsi="Times New Roman" w:cs="Times New Roman"/>
          <w:b/>
          <w:u w:val="single"/>
          <w:lang w:val="ro-RO"/>
        </w:rPr>
        <w:t>INFRASTRUCTURĂ – TRANSPORTURI</w:t>
      </w:r>
    </w:p>
    <w:p w:rsidR="003F6119" w:rsidRPr="000A18FF" w:rsidRDefault="003F6119" w:rsidP="003F6119">
      <w:pPr>
        <w:pStyle w:val="ListParagraph"/>
        <w:spacing w:after="0" w:line="240" w:lineRule="auto"/>
        <w:ind w:left="360"/>
        <w:rPr>
          <w:rFonts w:ascii="Times New Roman" w:hAnsi="Times New Roman" w:cs="Times New Roman"/>
          <w:b/>
          <w:u w:val="single"/>
          <w:lang w:val="ro-RO"/>
        </w:rPr>
      </w:pPr>
    </w:p>
    <w:p w:rsidR="0038763A" w:rsidRPr="000A18FF" w:rsidRDefault="0038763A" w:rsidP="006257CA">
      <w:pPr>
        <w:spacing w:after="0" w:line="240" w:lineRule="auto"/>
        <w:jc w:val="both"/>
        <w:rPr>
          <w:rFonts w:ascii="Times New Roman" w:eastAsia="Times New Roman" w:hAnsi="Times New Roman" w:cs="Times New Roman"/>
          <w:lang w:val="fr-FR"/>
        </w:rPr>
      </w:pPr>
      <w:r w:rsidRPr="000A18FF">
        <w:rPr>
          <w:rFonts w:ascii="Times New Roman" w:hAnsi="Times New Roman" w:cs="Times New Roman"/>
          <w:lang w:val="ro-RO"/>
        </w:rPr>
        <w:tab/>
      </w:r>
      <w:r w:rsidRPr="000A18FF">
        <w:rPr>
          <w:rFonts w:ascii="Times New Roman" w:eastAsia="Times New Roman" w:hAnsi="Times New Roman" w:cs="Times New Roman"/>
          <w:lang w:val="ro-RO"/>
        </w:rPr>
        <w:t xml:space="preserve">Rolul căilor de comunicaţie în evoluţia şi dezvoltarea oraşului Timişoara este unul bine cunoscut. Aflat la o importantă intersecţie de drumuri ce fac legătura dintre spaţiul românesc, centrul şi sud-vestul Europei, pe de o parte, iar pe de altă parte între Banatul Montan şi Crişana, oraşul a ştiut să valorifice din plin această poziţie dezvoltându-şi un sistem coerent de transport, cu numeroase debuşee spre exterior. </w:t>
      </w:r>
      <w:r w:rsidRPr="000A18FF">
        <w:rPr>
          <w:rFonts w:ascii="Times New Roman" w:eastAsia="Times New Roman" w:hAnsi="Times New Roman" w:cs="Times New Roman"/>
          <w:lang w:val="fr-FR"/>
        </w:rPr>
        <w:t>De altfel, intensitatea echipării cu infrastructură de transport, diversitatea acesteia constituie, la fel cu varietatea şi complementaritatea serviciilor oferite, elemente extrem de importante ale complexului social-economic şi asigură premise favorabile pentru dezvoltarea viitoare a oraşului.</w:t>
      </w:r>
    </w:p>
    <w:p w:rsidR="0038763A" w:rsidRPr="000A18FF" w:rsidRDefault="0038763A" w:rsidP="006257CA">
      <w:pPr>
        <w:spacing w:after="0" w:line="240" w:lineRule="auto"/>
        <w:jc w:val="both"/>
        <w:rPr>
          <w:rFonts w:ascii="Times New Roman" w:hAnsi="Times New Roman" w:cs="Times New Roman"/>
          <w:lang w:val="fr-FR"/>
        </w:rPr>
      </w:pPr>
      <w:r w:rsidRPr="000A18FF">
        <w:rPr>
          <w:rFonts w:ascii="Times New Roman" w:hAnsi="Times New Roman" w:cs="Times New Roman"/>
          <w:lang w:val="fr-FR"/>
        </w:rPr>
        <w:tab/>
      </w:r>
      <w:r w:rsidRPr="000A18FF">
        <w:rPr>
          <w:rFonts w:ascii="Times New Roman" w:eastAsia="Times New Roman" w:hAnsi="Times New Roman" w:cs="Times New Roman"/>
          <w:lang w:val="fr-FR"/>
        </w:rPr>
        <w:t xml:space="preserve">În ceea ce priveşte </w:t>
      </w:r>
      <w:r w:rsidRPr="000A18FF">
        <w:rPr>
          <w:rFonts w:ascii="Times New Roman" w:eastAsia="Times New Roman" w:hAnsi="Times New Roman" w:cs="Times New Roman"/>
          <w:i/>
          <w:lang w:val="fr-FR"/>
        </w:rPr>
        <w:t>transportul rutier</w:t>
      </w:r>
      <w:r w:rsidRPr="000A18FF">
        <w:rPr>
          <w:rFonts w:ascii="Times New Roman" w:eastAsia="Times New Roman" w:hAnsi="Times New Roman" w:cs="Times New Roman"/>
          <w:lang w:val="fr-FR"/>
        </w:rPr>
        <w:t>, Timişoara se află la intersecţia unor importante căi de comunicaţie (E 70 şi E 671) ce asigură legături cu Europa Centrală şi de sud-est. Un potenţial deosebit îl are drumul spre vama Cenad, care asigura legătura directă dintre Timişoara şi Ungaria şi mai departe spre Europa Centrală, constituind o alternativă la traseul ce se direcţionează spre vama Nădlac (prin Arad) in condiţiile transformării acestuia intr-un drum rapid (de tip expres). În ceea ce priveşte calitatea infrastructurii rutiere de care beneficiaz</w:t>
      </w:r>
      <w:r w:rsidRPr="000A18FF">
        <w:rPr>
          <w:rFonts w:ascii="Times New Roman" w:hAnsi="Times New Roman" w:cs="Times New Roman"/>
          <w:lang w:val="fr-FR"/>
        </w:rPr>
        <w:t>ă</w:t>
      </w:r>
      <w:r w:rsidRPr="000A18FF">
        <w:rPr>
          <w:rFonts w:ascii="Times New Roman" w:eastAsia="Times New Roman" w:hAnsi="Times New Roman" w:cs="Times New Roman"/>
          <w:lang w:val="fr-FR"/>
        </w:rPr>
        <w:t xml:space="preserve"> în prezent, Timişoara şi zona </w:t>
      </w:r>
      <w:r w:rsidRPr="000A18FF">
        <w:rPr>
          <w:rFonts w:ascii="Times New Roman" w:hAnsi="Times New Roman" w:cs="Times New Roman"/>
          <w:lang w:val="fr-FR"/>
        </w:rPr>
        <w:t xml:space="preserve">sa de influenţă, aceasta a fost </w:t>
      </w:r>
      <w:r w:rsidRPr="000A18FF">
        <w:rPr>
          <w:rFonts w:ascii="Times New Roman" w:hAnsi="Times New Roman" w:cs="Times New Roman"/>
          <w:lang w:val="fr-FR"/>
        </w:rPr>
        <w:lastRenderedPageBreak/>
        <w:t xml:space="preserve">reabilitată în linii mari în ultimii ani, dar </w:t>
      </w:r>
      <w:r w:rsidRPr="000A18FF">
        <w:rPr>
          <w:rFonts w:ascii="Times New Roman" w:hAnsi="Times New Roman" w:cs="Times New Roman"/>
          <w:i/>
          <w:lang w:val="fr-FR"/>
        </w:rPr>
        <w:t>lipsesc în continuare punctele de conexiune care să fluidizeze şi să asigure coerenţă traficului auto</w:t>
      </w:r>
      <w:r w:rsidRPr="000A18FF">
        <w:rPr>
          <w:rFonts w:ascii="Times New Roman" w:hAnsi="Times New Roman" w:cs="Times New Roman"/>
          <w:lang w:val="fr-FR"/>
        </w:rPr>
        <w:t xml:space="preserve">. </w:t>
      </w:r>
      <w:r w:rsidRPr="000A18FF">
        <w:rPr>
          <w:rFonts w:ascii="Times New Roman" w:hAnsi="Times New Roman" w:cs="Times New Roman"/>
          <w:i/>
          <w:lang w:val="fr-FR"/>
        </w:rPr>
        <w:t>Execuţia incompletă a</w:t>
      </w:r>
      <w:r w:rsidRPr="000A18FF">
        <w:rPr>
          <w:rFonts w:ascii="Times New Roman" w:eastAsia="Times New Roman" w:hAnsi="Times New Roman" w:cs="Times New Roman"/>
          <w:i/>
          <w:lang w:val="fr-FR"/>
        </w:rPr>
        <w:t xml:space="preserve"> centurii ocolitoare</w:t>
      </w:r>
      <w:r w:rsidRPr="000A18FF">
        <w:rPr>
          <w:rFonts w:ascii="Times New Roman" w:eastAsia="Times New Roman" w:hAnsi="Times New Roman" w:cs="Times New Roman"/>
          <w:lang w:val="fr-FR"/>
        </w:rPr>
        <w:t xml:space="preserve"> </w:t>
      </w:r>
      <w:r w:rsidRPr="000A18FF">
        <w:rPr>
          <w:rFonts w:ascii="Times New Roman" w:eastAsia="Times New Roman" w:hAnsi="Times New Roman" w:cs="Times New Roman"/>
          <w:i/>
          <w:lang w:val="fr-FR"/>
        </w:rPr>
        <w:t>şi a autostr</w:t>
      </w:r>
      <w:r w:rsidRPr="000A18FF">
        <w:rPr>
          <w:rFonts w:ascii="Times New Roman" w:hAnsi="Times New Roman" w:cs="Times New Roman"/>
          <w:i/>
          <w:lang w:val="fr-FR"/>
        </w:rPr>
        <w:t>ăzii</w:t>
      </w:r>
      <w:r w:rsidRPr="000A18FF">
        <w:rPr>
          <w:rFonts w:ascii="Times New Roman" w:hAnsi="Times New Roman" w:cs="Times New Roman"/>
          <w:lang w:val="fr-FR"/>
        </w:rPr>
        <w:t xml:space="preserve"> (tronsonul Timişoara – Lugoj – Deva – Sibiu</w:t>
      </w:r>
      <w:r w:rsidRPr="000A18FF">
        <w:rPr>
          <w:rFonts w:ascii="Times New Roman" w:eastAsia="Times New Roman" w:hAnsi="Times New Roman" w:cs="Times New Roman"/>
          <w:lang w:val="fr-FR"/>
        </w:rPr>
        <w:t xml:space="preserve"> </w:t>
      </w:r>
      <w:r w:rsidRPr="000A18FF">
        <w:rPr>
          <w:rFonts w:ascii="Times New Roman" w:hAnsi="Times New Roman" w:cs="Times New Roman"/>
          <w:lang w:val="fr-FR"/>
        </w:rPr>
        <w:t>se află încă în</w:t>
      </w:r>
      <w:r w:rsidRPr="000A18FF">
        <w:rPr>
          <w:rFonts w:ascii="Times New Roman" w:eastAsia="Times New Roman" w:hAnsi="Times New Roman" w:cs="Times New Roman"/>
          <w:lang w:val="fr-FR"/>
        </w:rPr>
        <w:t xml:space="preserve"> construcţie) adaugă alte dificultăţi desfăşurării circulaţiei rutiere datorită tranzitului traficului greu prin spaţiul urban al oraşului. În privinţa autostrăzii</w:t>
      </w:r>
      <w:r w:rsidRPr="000A18FF">
        <w:rPr>
          <w:rFonts w:ascii="Times New Roman" w:hAnsi="Times New Roman" w:cs="Times New Roman"/>
          <w:lang w:val="fr-FR"/>
        </w:rPr>
        <w:t xml:space="preserve"> Timişoara – Arad</w:t>
      </w:r>
      <w:r w:rsidRPr="000A18FF">
        <w:rPr>
          <w:rFonts w:ascii="Times New Roman" w:eastAsia="Times New Roman" w:hAnsi="Times New Roman" w:cs="Times New Roman"/>
          <w:lang w:val="fr-FR"/>
        </w:rPr>
        <w:t xml:space="preserve"> se pune problema descărcării traficului prin localitatea Dumbraviţa, fiind necesară </w:t>
      </w:r>
      <w:r w:rsidRPr="000A18FF">
        <w:rPr>
          <w:rFonts w:ascii="Times New Roman" w:hAnsi="Times New Roman" w:cs="Times New Roman"/>
          <w:lang w:val="fr-FR"/>
        </w:rPr>
        <w:t xml:space="preserve">şi </w:t>
      </w:r>
      <w:r w:rsidRPr="000A18FF">
        <w:rPr>
          <w:rFonts w:ascii="Times New Roman" w:eastAsia="Times New Roman" w:hAnsi="Times New Roman" w:cs="Times New Roman"/>
          <w:lang w:val="fr-FR"/>
        </w:rPr>
        <w:t xml:space="preserve">o variantă directă, spre Calea Aradului. În aria de influenţă a municipiului Timişoara, </w:t>
      </w:r>
      <w:r w:rsidRPr="000A18FF">
        <w:rPr>
          <w:rFonts w:ascii="Times New Roman" w:eastAsia="Times New Roman" w:hAnsi="Times New Roman" w:cs="Times New Roman"/>
          <w:i/>
          <w:lang w:val="fr-FR"/>
        </w:rPr>
        <w:t>slaba interconectare a localităţilor</w:t>
      </w:r>
      <w:r w:rsidRPr="000A18FF">
        <w:rPr>
          <w:rFonts w:ascii="Times New Roman" w:eastAsia="Times New Roman" w:hAnsi="Times New Roman" w:cs="Times New Roman"/>
          <w:lang w:val="fr-FR"/>
        </w:rPr>
        <w:t xml:space="preserve"> poate pune probleme coerenţei sistemului rutier, în condiţiile unei sistem precar de menagement al traficului. O viitoare autostradă spre Serbia ar asigura o a doua legătură internaţională directă spre Belgrad mărind gradul de conexiune cu spaţiile europene. </w:t>
      </w:r>
    </w:p>
    <w:p w:rsidR="0038763A" w:rsidRPr="000A18FF" w:rsidRDefault="0038763A" w:rsidP="006257CA">
      <w:pPr>
        <w:spacing w:after="0" w:line="240" w:lineRule="auto"/>
        <w:jc w:val="both"/>
        <w:rPr>
          <w:rFonts w:ascii="Times New Roman" w:eastAsia="Times New Roman" w:hAnsi="Times New Roman" w:cs="Times New Roman"/>
          <w:lang w:val="fr-FR"/>
        </w:rPr>
      </w:pPr>
      <w:r w:rsidRPr="000A18FF">
        <w:rPr>
          <w:rFonts w:ascii="Times New Roman" w:hAnsi="Times New Roman" w:cs="Times New Roman"/>
          <w:lang w:val="fr-FR"/>
        </w:rPr>
        <w:tab/>
      </w:r>
      <w:r w:rsidRPr="000A18FF">
        <w:rPr>
          <w:rFonts w:ascii="Times New Roman" w:eastAsia="Times New Roman" w:hAnsi="Times New Roman" w:cs="Times New Roman"/>
          <w:lang w:val="fr-FR"/>
        </w:rPr>
        <w:t xml:space="preserve">O necesitate pentru dezvoltarea durabilă a Polului Timişoara este mai buna racordare a acestuia la spaţiul naţional şi european. În acest sens, sunt vitale: încheierea rapidă </w:t>
      </w:r>
      <w:r w:rsidRPr="000A18FF">
        <w:rPr>
          <w:rFonts w:ascii="Times New Roman" w:hAnsi="Times New Roman" w:cs="Times New Roman"/>
          <w:lang w:val="fr-FR"/>
        </w:rPr>
        <w:t>a lucrărilor de construcţie a autostrăzii A1 (segmentul Nădlac – Timişoara – Lugoj – Deva – Sibiu), realizarea</w:t>
      </w:r>
      <w:r w:rsidRPr="000A18FF">
        <w:rPr>
          <w:rFonts w:ascii="Times New Roman" w:eastAsia="Times New Roman" w:hAnsi="Times New Roman" w:cs="Times New Roman"/>
          <w:lang w:val="fr-FR"/>
        </w:rPr>
        <w:t xml:space="preserve"> şoselei de centură pentru fluidizarea traficului în tranzit şi ameliorarea circulaţiei în zona de influenţă a Polului, amenajarea DN 6 pe sectorul Timişoara – Cenad – frontiera cu Ungaria ca </w:t>
      </w:r>
      <w:r w:rsidRPr="000A18FF">
        <w:rPr>
          <w:rFonts w:ascii="Times New Roman" w:eastAsia="Times New Roman" w:hAnsi="Times New Roman" w:cs="Times New Roman"/>
          <w:i/>
          <w:lang w:val="fr-FR"/>
        </w:rPr>
        <w:t xml:space="preserve">drum rapid </w:t>
      </w:r>
      <w:r w:rsidRPr="000A18FF">
        <w:rPr>
          <w:rFonts w:ascii="Times New Roman" w:eastAsia="Times New Roman" w:hAnsi="Times New Roman" w:cs="Times New Roman"/>
          <w:lang w:val="fr-FR"/>
        </w:rPr>
        <w:t xml:space="preserve">(cea mai scurtă legătură cu Europa Centrală), promovarea sectoarelor regionale ale sistemului naţional de autostrăzi. Prin lucrările propuse, vor fi astfel consolidate principalele direcţii spre care Polul de creştere Timişoara are deschidere spaţială: spre est (Lugoj – Craiova – Bucureşti / Sibiu – Braşov), spre vest (Szeged – Budapesta – Viena), spre sud şi sud-vest (Belgrad – Mediterana) şi spre nord (Arad – Oradea – regiunea Balticii). </w:t>
      </w:r>
    </w:p>
    <w:p w:rsidR="0038763A" w:rsidRPr="000A18FF" w:rsidRDefault="0038763A" w:rsidP="006257CA">
      <w:pPr>
        <w:spacing w:after="0" w:line="240" w:lineRule="auto"/>
        <w:jc w:val="both"/>
        <w:rPr>
          <w:rFonts w:ascii="Times New Roman" w:eastAsia="Times New Roman" w:hAnsi="Times New Roman" w:cs="Times New Roman"/>
          <w:lang w:val="it-IT"/>
        </w:rPr>
      </w:pPr>
      <w:r w:rsidRPr="000A18FF">
        <w:rPr>
          <w:rFonts w:ascii="Times New Roman" w:hAnsi="Times New Roman" w:cs="Times New Roman"/>
          <w:lang w:val="fr-FR"/>
        </w:rPr>
        <w:tab/>
      </w:r>
      <w:r w:rsidRPr="000A18FF">
        <w:rPr>
          <w:rFonts w:ascii="Times New Roman" w:eastAsia="Times New Roman" w:hAnsi="Times New Roman" w:cs="Times New Roman"/>
          <w:lang w:val="fr-FR"/>
        </w:rPr>
        <w:t xml:space="preserve">Polul de Creştere Timişoara beneficiază de cea mai densă </w:t>
      </w:r>
      <w:r w:rsidRPr="000A18FF">
        <w:rPr>
          <w:rFonts w:ascii="Times New Roman" w:eastAsia="Times New Roman" w:hAnsi="Times New Roman" w:cs="Times New Roman"/>
          <w:i/>
          <w:lang w:val="fr-FR"/>
        </w:rPr>
        <w:t>reţea feroviară</w:t>
      </w:r>
      <w:r w:rsidRPr="000A18FF">
        <w:rPr>
          <w:rFonts w:ascii="Times New Roman" w:eastAsia="Times New Roman" w:hAnsi="Times New Roman" w:cs="Times New Roman"/>
          <w:lang w:val="fr-FR"/>
        </w:rPr>
        <w:t xml:space="preserve"> din România (91,9 km/100 km²) şi de al doilea nod feroviar al ţării (9 direcţii). Dintre liniile feroviare ce se intersectează la Timişoara, însă, majoritatea sunt linii secundare; cele mai importante sunt magistrala 100 (900) dinspre Bucureşti (prin Craiova), cu legături internaţionale spre Serbia (prin Jimbolia şi Stamora Moraviţa) şi linia principală Timişoara – Arad – Oradea, prin care se asigură legătura cu magistrala 200 (Braşov – Sibiu – Arad – Curtici) şi implicit cu Ungaria prin punctul de frontieră Curtici. Deşi densă, asigurând, practic, legături cu toate localităţile din zona de influenţă, </w:t>
      </w:r>
      <w:r w:rsidRPr="000A18FF">
        <w:rPr>
          <w:rFonts w:ascii="Times New Roman" w:eastAsia="Times New Roman" w:hAnsi="Times New Roman" w:cs="Times New Roman"/>
          <w:i/>
          <w:lang w:val="fr-FR"/>
        </w:rPr>
        <w:t>reţeua feroviară actuală este incapabilă să asigure siguranţa, confortul şi viteza necesară unui transport modern</w:t>
      </w:r>
      <w:r w:rsidRPr="000A18FF">
        <w:rPr>
          <w:rFonts w:ascii="Times New Roman" w:eastAsia="Times New Roman" w:hAnsi="Times New Roman" w:cs="Times New Roman"/>
          <w:lang w:val="fr-FR"/>
        </w:rPr>
        <w:t xml:space="preserve">. </w:t>
      </w:r>
      <w:r w:rsidRPr="000A18FF">
        <w:rPr>
          <w:rFonts w:ascii="Times New Roman" w:eastAsia="Times New Roman" w:hAnsi="Times New Roman" w:cs="Times New Roman"/>
          <w:lang w:val="it-IT"/>
        </w:rPr>
        <w:t xml:space="preserve">Lipsa unei centuri feroviare este un alt obstacol în derularea unui trafic feroviar coerent. </w:t>
      </w:r>
      <w:r w:rsidRPr="000A18FF">
        <w:rPr>
          <w:rFonts w:ascii="Times New Roman" w:eastAsia="Times New Roman" w:hAnsi="Times New Roman" w:cs="Times New Roman"/>
          <w:i/>
          <w:lang w:val="it-IT"/>
        </w:rPr>
        <w:t>Racordarea polului de creştere Timişoara la reţeaua europeană de transport feroviar de mare viteză</w:t>
      </w:r>
      <w:r w:rsidRPr="000A18FF">
        <w:rPr>
          <w:rFonts w:ascii="Times New Roman" w:eastAsia="Times New Roman" w:hAnsi="Times New Roman" w:cs="Times New Roman"/>
          <w:lang w:val="it-IT"/>
        </w:rPr>
        <w:t xml:space="preserve"> este un obiectiv important, care trebuie avut în vedere, chiar dacă deocamdată lipseşte un plan naţional în acest sens. În limitele polului de creştere actualele trasee secundare ar putea fi transformate în linii de transport suburban, în paralel cu modernizarea şi creşterea vitezei pe liniile principale.</w:t>
      </w:r>
    </w:p>
    <w:p w:rsidR="0038763A" w:rsidRPr="000A18FF" w:rsidRDefault="0038763A" w:rsidP="006257CA">
      <w:pPr>
        <w:spacing w:after="0" w:line="240" w:lineRule="auto"/>
        <w:ind w:firstLine="567"/>
        <w:jc w:val="both"/>
        <w:rPr>
          <w:rFonts w:ascii="Times New Roman" w:eastAsia="Times New Roman" w:hAnsi="Times New Roman" w:cs="Times New Roman"/>
          <w:lang w:val="it-IT"/>
        </w:rPr>
      </w:pPr>
      <w:r w:rsidRPr="000A18FF">
        <w:rPr>
          <w:rFonts w:ascii="Times New Roman" w:hAnsi="Times New Roman" w:cs="Times New Roman"/>
          <w:lang w:val="it-IT"/>
        </w:rPr>
        <w:tab/>
      </w:r>
      <w:r w:rsidRPr="000A18FF">
        <w:rPr>
          <w:rFonts w:ascii="Times New Roman" w:eastAsia="Times New Roman" w:hAnsi="Times New Roman" w:cs="Times New Roman"/>
          <w:i/>
          <w:lang w:val="it-IT"/>
        </w:rPr>
        <w:t>Trans</w:t>
      </w:r>
      <w:r w:rsidRPr="000A18FF">
        <w:rPr>
          <w:rFonts w:ascii="Times New Roman" w:hAnsi="Times New Roman" w:cs="Times New Roman"/>
          <w:i/>
          <w:lang w:val="it-IT"/>
        </w:rPr>
        <w:t>portul aerian</w:t>
      </w:r>
      <w:r w:rsidRPr="000A18FF">
        <w:rPr>
          <w:rFonts w:ascii="Times New Roman" w:hAnsi="Times New Roman" w:cs="Times New Roman"/>
          <w:lang w:val="it-IT"/>
        </w:rPr>
        <w:t xml:space="preserve"> asigurat de A</w:t>
      </w:r>
      <w:r w:rsidRPr="000A18FF">
        <w:rPr>
          <w:rFonts w:ascii="Times New Roman" w:eastAsia="Times New Roman" w:hAnsi="Times New Roman" w:cs="Times New Roman"/>
          <w:lang w:val="it-IT"/>
        </w:rPr>
        <w:t xml:space="preserve">eroportul internaţional „Traian Vuia”, a înregistrat în ultimii ani o evoluţie regresivă a traficului de pasageri datorită retragerii de pe piaţa locală a unor operatori importanţi. Infrastructura aeroportuară actuală, deşi permite operarea tuturor tipurilor de nave, fără restricţii, este insuficientă pentru dinamica actuală, necesitând lucrări de extindere şi modernizare. Este necesară, de asemenea, </w:t>
      </w:r>
      <w:r w:rsidRPr="000A18FF">
        <w:rPr>
          <w:rFonts w:ascii="Times New Roman" w:eastAsia="Times New Roman" w:hAnsi="Times New Roman" w:cs="Times New Roman"/>
          <w:i/>
          <w:lang w:val="it-IT"/>
        </w:rPr>
        <w:t>conectarea aeroportului cu celelalte moduri de transport</w:t>
      </w:r>
      <w:r w:rsidRPr="000A18FF">
        <w:rPr>
          <w:rFonts w:ascii="Times New Roman" w:eastAsia="Times New Roman" w:hAnsi="Times New Roman" w:cs="Times New Roman"/>
          <w:lang w:val="it-IT"/>
        </w:rPr>
        <w:t xml:space="preserve"> (drum rapid, legătură feroviară directă cu gara principală a oraşului). Previziunile privind creşterea traficului de pasageri, marfă şi mişcări aeronave pentru anii următori ani, relevă </w:t>
      </w:r>
      <w:r w:rsidRPr="000A18FF">
        <w:rPr>
          <w:rFonts w:ascii="Times New Roman" w:eastAsia="Times New Roman" w:hAnsi="Times New Roman" w:cs="Times New Roman"/>
          <w:i/>
          <w:lang w:val="it-IT"/>
        </w:rPr>
        <w:t>necesitatea dezvoltării infrastructurii aeroportuare în sensul transformării aeroportului într-un hub aerian de primă importanţă</w:t>
      </w:r>
      <w:r w:rsidRPr="000A18FF">
        <w:rPr>
          <w:rFonts w:ascii="Times New Roman" w:eastAsia="Times New Roman" w:hAnsi="Times New Roman" w:cs="Times New Roman"/>
          <w:lang w:val="it-IT"/>
        </w:rPr>
        <w:t xml:space="preserve"> pentru partea de sud-est a Europei.  </w:t>
      </w:r>
    </w:p>
    <w:p w:rsidR="0038763A" w:rsidRPr="000A18FF" w:rsidRDefault="0038763A" w:rsidP="006257CA">
      <w:pPr>
        <w:spacing w:after="0" w:line="240" w:lineRule="auto"/>
        <w:ind w:firstLine="567"/>
        <w:jc w:val="both"/>
        <w:rPr>
          <w:rFonts w:ascii="Times New Roman" w:eastAsia="Times New Roman" w:hAnsi="Times New Roman" w:cs="Times New Roman"/>
          <w:lang w:val="pt-BR"/>
        </w:rPr>
      </w:pPr>
      <w:r w:rsidRPr="000A18FF">
        <w:rPr>
          <w:rFonts w:ascii="Times New Roman" w:eastAsia="Times New Roman" w:hAnsi="Times New Roman" w:cs="Times New Roman"/>
          <w:i/>
          <w:lang w:val="pt-BR"/>
        </w:rPr>
        <w:t>Transportul public</w:t>
      </w:r>
      <w:r w:rsidRPr="000A18FF">
        <w:rPr>
          <w:rFonts w:ascii="Times New Roman" w:eastAsia="Times New Roman" w:hAnsi="Times New Roman" w:cs="Times New Roman"/>
          <w:lang w:val="pt-BR"/>
        </w:rPr>
        <w:t xml:space="preserve">, dens şi diversificat în interiorul Timişoarei este insuficient extins spre zona de influenţă. Acest aspect poate fi atenuat prin proiectele de extindere a liniilor de troleibuz spre Ghiroda şi Dumbrăviţa. </w:t>
      </w:r>
      <w:r w:rsidRPr="000A18FF">
        <w:rPr>
          <w:rFonts w:ascii="Times New Roman" w:eastAsia="Times New Roman" w:hAnsi="Times New Roman" w:cs="Times New Roman"/>
          <w:i/>
          <w:lang w:val="pt-BR"/>
        </w:rPr>
        <w:t>O preocupare deosebită trebuie acordată înnoirii urgente a parcului de tramvaie</w:t>
      </w:r>
      <w:r w:rsidRPr="000A18FF">
        <w:rPr>
          <w:rFonts w:ascii="Times New Roman" w:eastAsia="Times New Roman" w:hAnsi="Times New Roman" w:cs="Times New Roman"/>
          <w:lang w:val="pt-BR"/>
        </w:rPr>
        <w:t xml:space="preserve"> aflat într-o stare avansată de degradare şi în imposibilitatea de a asigura standardele corespunzătoare de civilizaţie, confort şi securitate pentru pasageri. În interiorul oraşului, transformarea actualei căi ferate, care traversează oraşul pe direcţie est – vest, într-o linie de transport rapid metropolitan (între Gara de Nord şi aeroport)</w:t>
      </w:r>
      <w:r w:rsidR="0088718C">
        <w:rPr>
          <w:rFonts w:ascii="Times New Roman" w:eastAsia="Times New Roman" w:hAnsi="Times New Roman" w:cs="Times New Roman"/>
          <w:lang w:val="pt-BR"/>
        </w:rPr>
        <w:t>, printr-un proiect tehnic agreat și realizabil,</w:t>
      </w:r>
      <w:r w:rsidRPr="000A18FF">
        <w:rPr>
          <w:rFonts w:ascii="Times New Roman" w:eastAsia="Times New Roman" w:hAnsi="Times New Roman" w:cs="Times New Roman"/>
          <w:lang w:val="pt-BR"/>
        </w:rPr>
        <w:t xml:space="preserve"> ar putea mări capacitatea de transport şi viteza între două puncte esenţiale ale spaţiului urban</w:t>
      </w:r>
      <w:r w:rsidR="0088718C">
        <w:rPr>
          <w:rFonts w:ascii="Times New Roman" w:eastAsia="Times New Roman" w:hAnsi="Times New Roman" w:cs="Times New Roman"/>
          <w:lang w:val="pt-BR"/>
        </w:rPr>
        <w:t>/periurban</w:t>
      </w:r>
      <w:r w:rsidRPr="000A18FF">
        <w:rPr>
          <w:rFonts w:ascii="Times New Roman" w:eastAsia="Times New Roman" w:hAnsi="Times New Roman" w:cs="Times New Roman"/>
          <w:lang w:val="pt-BR"/>
        </w:rPr>
        <w:t xml:space="preserve">.  </w:t>
      </w:r>
    </w:p>
    <w:p w:rsidR="0038763A" w:rsidRPr="000A18FF" w:rsidRDefault="0038763A" w:rsidP="006257CA">
      <w:pPr>
        <w:spacing w:after="0" w:line="240" w:lineRule="auto"/>
        <w:jc w:val="both"/>
        <w:rPr>
          <w:rFonts w:ascii="Times New Roman" w:eastAsia="Times New Roman" w:hAnsi="Times New Roman" w:cs="Times New Roman"/>
          <w:lang w:val="it-IT"/>
        </w:rPr>
      </w:pPr>
      <w:r w:rsidRPr="000A18FF">
        <w:rPr>
          <w:rFonts w:ascii="Times New Roman" w:eastAsia="Times New Roman" w:hAnsi="Times New Roman" w:cs="Times New Roman"/>
          <w:lang w:val="pt-BR"/>
        </w:rPr>
        <w:lastRenderedPageBreak/>
        <w:tab/>
        <w:t>În ceea</w:t>
      </w:r>
      <w:r w:rsidRPr="000A18FF">
        <w:rPr>
          <w:rFonts w:ascii="Times New Roman" w:hAnsi="Times New Roman" w:cs="Times New Roman"/>
          <w:lang w:val="pt-BR"/>
        </w:rPr>
        <w:t xml:space="preserve"> ce </w:t>
      </w:r>
      <w:r w:rsidRPr="000A18FF">
        <w:rPr>
          <w:rFonts w:ascii="Times New Roman" w:eastAsia="Times New Roman" w:hAnsi="Times New Roman" w:cs="Times New Roman"/>
          <w:lang w:val="pt-BR"/>
        </w:rPr>
        <w:t xml:space="preserve">priveşte </w:t>
      </w:r>
      <w:r w:rsidRPr="000A18FF">
        <w:rPr>
          <w:rFonts w:ascii="Times New Roman" w:eastAsia="Times New Roman" w:hAnsi="Times New Roman" w:cs="Times New Roman"/>
          <w:i/>
          <w:lang w:val="pt-BR"/>
        </w:rPr>
        <w:t>echiparea tehnico-edilitară</w:t>
      </w:r>
      <w:r w:rsidRPr="000A18FF">
        <w:rPr>
          <w:rFonts w:ascii="Times New Roman" w:eastAsia="Times New Roman" w:hAnsi="Times New Roman" w:cs="Times New Roman"/>
          <w:lang w:val="pt-BR"/>
        </w:rPr>
        <w:t xml:space="preserve">, în condiţiile extinderii reţelelor în ultimii ani există încă un decalaj între oraşul Timişoara (cu sisteme funcţionale şi extinse de alimentare cu energie, apă, gaze, canalizare) şi zona de influenţă a oraşului, marcată de acces mai redus la aceste utilităţi. Foarte importantă pentru viitor va fi </w:t>
      </w:r>
      <w:r w:rsidRPr="000A18FF">
        <w:rPr>
          <w:rFonts w:ascii="Times New Roman" w:hAnsi="Times New Roman" w:cs="Times New Roman"/>
          <w:lang w:val="pt-BR"/>
        </w:rPr>
        <w:t xml:space="preserve">alimentarea tuturor clienţilor în condiţii de calitate şi siguranţă, reducerea pierderilor şi </w:t>
      </w:r>
      <w:r w:rsidRPr="000A18FF">
        <w:rPr>
          <w:rFonts w:ascii="Times New Roman" w:hAnsi="Times New Roman" w:cs="Times New Roman"/>
          <w:i/>
          <w:lang w:val="pt-BR"/>
        </w:rPr>
        <w:t>creşterea eficienţei energetice</w:t>
      </w:r>
      <w:r w:rsidRPr="000A18FF">
        <w:rPr>
          <w:rFonts w:ascii="Times New Roman" w:hAnsi="Times New Roman" w:cs="Times New Roman"/>
          <w:lang w:val="pt-BR"/>
        </w:rPr>
        <w:t xml:space="preserve"> în domeniul reţelelor de distribuţie a energiei electrice, termice şi a gazelor.       </w:t>
      </w:r>
    </w:p>
    <w:p w:rsidR="0038763A" w:rsidRPr="000A18FF" w:rsidRDefault="0038763A" w:rsidP="006257CA">
      <w:pPr>
        <w:spacing w:after="0" w:line="240" w:lineRule="auto"/>
        <w:jc w:val="both"/>
        <w:rPr>
          <w:rFonts w:ascii="Times New Roman" w:hAnsi="Times New Roman" w:cs="Times New Roman"/>
          <w:lang w:val="it-IT"/>
        </w:rPr>
      </w:pPr>
    </w:p>
    <w:p w:rsidR="0038763A" w:rsidRPr="000A18FF" w:rsidRDefault="0038763A" w:rsidP="006257CA">
      <w:pPr>
        <w:spacing w:after="0" w:line="240" w:lineRule="auto"/>
        <w:jc w:val="both"/>
        <w:rPr>
          <w:rFonts w:ascii="Times New Roman" w:hAnsi="Times New Roman" w:cs="Times New Roman"/>
          <w:lang w:val="it-IT"/>
        </w:rPr>
      </w:pPr>
      <w:r w:rsidRPr="000A18FF">
        <w:rPr>
          <w:rFonts w:ascii="Times New Roman" w:hAnsi="Times New Roman" w:cs="Times New Roman"/>
          <w:lang w:val="it-IT"/>
        </w:rPr>
        <w:tab/>
        <w:t xml:space="preserve">În ceea ce priveşte </w:t>
      </w:r>
      <w:r w:rsidRPr="000A18FF">
        <w:rPr>
          <w:rFonts w:ascii="Times New Roman" w:hAnsi="Times New Roman" w:cs="Times New Roman"/>
          <w:b/>
          <w:i/>
          <w:lang w:val="it-IT"/>
        </w:rPr>
        <w:t>mobilitatea şi desfăşurarea optimă a traficului</w:t>
      </w:r>
      <w:r w:rsidRPr="000A18FF">
        <w:rPr>
          <w:rFonts w:ascii="Times New Roman" w:hAnsi="Times New Roman" w:cs="Times New Roman"/>
          <w:lang w:val="it-IT"/>
        </w:rPr>
        <w:t xml:space="preserve">, creşterea continuă a numărului de autovehicule înmatriculate (de la 150 de autovehicule / 1000 locuitori în 1990 la peste 500 de autovehicule / 1000 locuitori în 2014), precum şi a celor care tranzitează oraşul (ajungând la peste 50.000 de autovehicule în prezent), impune schimbări în ceea ce priveşte traficul staţionar (staţionare, parcare, garare). Se constată insuficienţa spaţiilor special destinate staţionării (parcări, garaje individuale sau colective) atât în zona centrală, cât şi în marile cartiere dens locuite. </w:t>
      </w:r>
    </w:p>
    <w:p w:rsidR="0038763A" w:rsidRPr="000A18FF" w:rsidRDefault="0038763A" w:rsidP="006257CA">
      <w:pPr>
        <w:spacing w:after="0" w:line="240" w:lineRule="auto"/>
        <w:jc w:val="both"/>
        <w:rPr>
          <w:rFonts w:ascii="Times New Roman" w:hAnsi="Times New Roman" w:cs="Times New Roman"/>
          <w:lang w:val="it-IT"/>
        </w:rPr>
      </w:pPr>
      <w:r w:rsidRPr="000A18FF">
        <w:rPr>
          <w:rFonts w:ascii="Times New Roman" w:hAnsi="Times New Roman" w:cs="Times New Roman"/>
          <w:lang w:val="it-IT"/>
        </w:rPr>
        <w:tab/>
        <w:t xml:space="preserve">În aria Polului de creştere circulaţia se desfăşoară prin arterele de penetraţie, care se continuă cu arterele radiare majore urbane. Inexistenţa unor măsuri care să asigure o dezvoltare armonioasă a zonei a determinat necorelarea între reţelele urbane şi cele din aria periurbană, rezultând astfel disfuncţii în privinţa mobilităţii. Legăturile dintre localităţile periurbane sunt insuficiente, iar cele existente sunt amenajate necorespunzător, afectând semnificativ traficul din interiorul Polului de creştere. Pentru a asigura un grad mai mare de integrare a localităţilor periurbane în aria Polului de creştere este nevoie de o reţea coerentă de autogări pe raza oraşului Timişoara. Localizarea lor optimă ar putea fi în proximitatea marilor noduri ale reţelei de transport public (Stan Vidrighin, Dâmboviţa, Gara de Sud).  Ele vor avea rolul de a asigura conectarea cu alte moduri de transport public şi individual, ajungând la funcţia de nod de transbordare.  </w:t>
      </w:r>
    </w:p>
    <w:p w:rsidR="0038763A" w:rsidRPr="000A18FF" w:rsidRDefault="0038763A" w:rsidP="006257CA">
      <w:pPr>
        <w:spacing w:after="0" w:line="240" w:lineRule="auto"/>
        <w:jc w:val="both"/>
        <w:rPr>
          <w:rFonts w:ascii="Times New Roman" w:hAnsi="Times New Roman" w:cs="Times New Roman"/>
          <w:lang w:val="it-IT"/>
        </w:rPr>
      </w:pPr>
      <w:r w:rsidRPr="000A18FF">
        <w:rPr>
          <w:rFonts w:ascii="Times New Roman" w:hAnsi="Times New Roman" w:cs="Times New Roman"/>
          <w:lang w:val="it-IT"/>
        </w:rPr>
        <w:tab/>
        <w:t xml:space="preserve">Numărul mare de gări, atât pentru traficul feroviar de persoane (Timişoara Nord, Timişoara Sud, Timişoara Est şi Timişoara Vest), cât şi pentru cel de mărfuri, instituie un număr mare de noduri de transbordare cu necesităţi de conectare inteligentă. </w:t>
      </w:r>
    </w:p>
    <w:p w:rsidR="0038763A" w:rsidRPr="000A18FF" w:rsidRDefault="0038763A" w:rsidP="006257CA">
      <w:pPr>
        <w:spacing w:after="0" w:line="240" w:lineRule="auto"/>
        <w:jc w:val="both"/>
        <w:rPr>
          <w:rFonts w:ascii="Times New Roman" w:hAnsi="Times New Roman" w:cs="Times New Roman"/>
          <w:lang w:val="it-IT"/>
        </w:rPr>
      </w:pPr>
      <w:r w:rsidRPr="000A18FF">
        <w:rPr>
          <w:rFonts w:ascii="Times New Roman" w:hAnsi="Times New Roman" w:cs="Times New Roman"/>
          <w:lang w:val="it-IT"/>
        </w:rPr>
        <w:tab/>
        <w:t xml:space="preserve">Deşi transportul în comun este bine dezvoltat pe raza municipiului Timişoara, numărul insuficient de locuri care permit traversarea celor două obstacole majore (calea ferată şi canalul Bega), afectează în foarte mare masură continuitatea reţelelor stradale şi a transportului în comun. De asemenea, legăturile dintre transportul urban şi periurban sunt confuze, neexistând puncte de transfer stabilite după nevoile călătorilor şi necesităţile reţelei. Călătorii sunt astfel confruntaţi cu situaţii de conflict rezultate din necorelarea transportului periurban cu cel urban. </w:t>
      </w:r>
    </w:p>
    <w:p w:rsidR="0038763A" w:rsidRPr="000A18FF" w:rsidRDefault="0038763A" w:rsidP="006257CA">
      <w:pPr>
        <w:spacing w:after="0" w:line="240" w:lineRule="auto"/>
        <w:jc w:val="both"/>
        <w:rPr>
          <w:rFonts w:ascii="Times New Roman" w:hAnsi="Times New Roman" w:cs="Times New Roman"/>
          <w:lang w:val="it-IT"/>
        </w:rPr>
      </w:pPr>
      <w:r w:rsidRPr="000A18FF">
        <w:rPr>
          <w:rFonts w:ascii="Times New Roman" w:hAnsi="Times New Roman" w:cs="Times New Roman"/>
          <w:lang w:val="it-IT"/>
        </w:rPr>
        <w:tab/>
        <w:t xml:space="preserve">În ceea ce priveşte circulaţia ciclistă, aceasta este permisă pe toată reţeaua stradală, fără, însă, să existe amenajări specifice desfăşurării ei. Există câteva tronsoane de piste de biciclete necorelate între ele. Acestea nu sunt proiectate şi executate optim, nefiind protejate nici faţă de pietoni şi nici faţă de autovehicule.  Se află în execuţie un culoar pentru circulaţia bicicleteleor de-a lungul canalului Bega, iar finalizarea acestuia va facilita accesul mai facil al bicicliştilot îndeosebi spre zonele de agrement şi parcurile din proximitatea Begăi. </w:t>
      </w:r>
    </w:p>
    <w:p w:rsidR="0038763A" w:rsidRPr="000A18FF" w:rsidRDefault="0038763A" w:rsidP="006257CA">
      <w:pPr>
        <w:pStyle w:val="BodyTextIndent"/>
        <w:spacing w:after="0"/>
        <w:ind w:left="0"/>
        <w:jc w:val="both"/>
        <w:rPr>
          <w:sz w:val="22"/>
          <w:szCs w:val="22"/>
          <w:lang w:val="ro-RO"/>
        </w:rPr>
      </w:pPr>
      <w:r w:rsidRPr="000A18FF">
        <w:rPr>
          <w:sz w:val="22"/>
          <w:szCs w:val="22"/>
          <w:lang w:val="it-IT"/>
        </w:rPr>
        <w:tab/>
        <w:t>Calitatea nivelului de servicii oferite pietonilor este necorespunzătoare, iar numărul zonelor pietonale este relativ redus. În pofida faptului că cele mai multe artere ale zonei istorice centrale sunt în curs de a</w:t>
      </w:r>
      <w:r w:rsidR="00262B24" w:rsidRPr="000A18FF">
        <w:rPr>
          <w:sz w:val="22"/>
          <w:szCs w:val="22"/>
          <w:lang w:val="it-IT"/>
        </w:rPr>
        <w:t>menajare pentru a deveni pietona</w:t>
      </w:r>
      <w:r w:rsidRPr="000A18FF">
        <w:rPr>
          <w:sz w:val="22"/>
          <w:szCs w:val="22"/>
          <w:lang w:val="it-IT"/>
        </w:rPr>
        <w:t>le, există încă numeroase artere din proximitatea centrului în care accesul pietonal este dificil din cauza calităţii precare a trotuarelor şi a celorlalte amenajări pietonale, precum şi datorită volumului şi v</w:t>
      </w:r>
      <w:r w:rsidR="00262B24" w:rsidRPr="000A18FF">
        <w:rPr>
          <w:sz w:val="22"/>
          <w:szCs w:val="22"/>
          <w:lang w:val="it-IT"/>
        </w:rPr>
        <w:t>itezei traficului auto care fac</w:t>
      </w:r>
      <w:r w:rsidRPr="000A18FF">
        <w:rPr>
          <w:sz w:val="22"/>
          <w:szCs w:val="22"/>
          <w:lang w:val="it-IT"/>
        </w:rPr>
        <w:t xml:space="preserve"> dificilă traverarea carosabilului.</w:t>
      </w:r>
    </w:p>
    <w:p w:rsidR="0038763A" w:rsidRPr="000A18FF" w:rsidRDefault="0038763A" w:rsidP="006257CA">
      <w:pPr>
        <w:spacing w:after="0" w:line="240" w:lineRule="auto"/>
        <w:jc w:val="both"/>
        <w:rPr>
          <w:rFonts w:ascii="Times New Roman" w:eastAsia="Times New Roman" w:hAnsi="Times New Roman" w:cs="Times New Roman"/>
          <w:lang w:val="ro-RO"/>
        </w:rPr>
      </w:pPr>
    </w:p>
    <w:p w:rsidR="00051E8B" w:rsidRPr="000A18FF" w:rsidRDefault="00051E8B" w:rsidP="006257CA">
      <w:pPr>
        <w:spacing w:after="0" w:line="240" w:lineRule="auto"/>
        <w:jc w:val="center"/>
        <w:rPr>
          <w:rFonts w:ascii="Times New Roman" w:eastAsia="Times New Roman" w:hAnsi="Times New Roman" w:cs="Times New Roman"/>
          <w:b/>
          <w:u w:val="single"/>
          <w:lang w:val="ro-RO"/>
        </w:rPr>
      </w:pPr>
      <w:r w:rsidRPr="000A18FF">
        <w:rPr>
          <w:rFonts w:ascii="Times New Roman" w:eastAsia="Times New Roman" w:hAnsi="Times New Roman" w:cs="Times New Roman"/>
          <w:b/>
          <w:u w:val="single"/>
          <w:lang w:val="ro-RO"/>
        </w:rPr>
        <w:t>5. INFRASTRUCTURA SOCIALĂ ŞI LOCUINŢELE</w:t>
      </w:r>
    </w:p>
    <w:p w:rsidR="00051E8B" w:rsidRPr="000A18FF" w:rsidRDefault="00051E8B" w:rsidP="006257CA">
      <w:pPr>
        <w:spacing w:after="0" w:line="240" w:lineRule="auto"/>
        <w:jc w:val="both"/>
        <w:rPr>
          <w:rFonts w:ascii="Times New Roman" w:eastAsia="Times New Roman" w:hAnsi="Times New Roman" w:cs="Times New Roman"/>
          <w:lang w:val="ro-RO"/>
        </w:rPr>
      </w:pPr>
    </w:p>
    <w:p w:rsidR="00820403" w:rsidRPr="000A18FF" w:rsidRDefault="00820403" w:rsidP="00820403">
      <w:pPr>
        <w:spacing w:after="0" w:line="240" w:lineRule="auto"/>
        <w:ind w:firstLine="720"/>
        <w:rPr>
          <w:rFonts w:ascii="Times New Roman" w:hAnsi="Times New Roman" w:cs="Times New Roman"/>
          <w:b/>
          <w:lang w:val="ro-RO"/>
        </w:rPr>
      </w:pPr>
      <w:r w:rsidRPr="000A18FF">
        <w:rPr>
          <w:rFonts w:ascii="Times New Roman" w:hAnsi="Times New Roman" w:cs="Times New Roman"/>
          <w:b/>
          <w:lang w:val="ro-RO"/>
        </w:rPr>
        <w:t>5.1. Învățământ</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lastRenderedPageBreak/>
        <w:t>PCT dispune de o ofertă educațională exhaustivă caracterizată prin universități de prestigiu, licee cu tradiție, pluralism educațional.</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 xml:space="preserve">Timișoara este al </w:t>
      </w:r>
      <w:r w:rsidRPr="000A18FF">
        <w:rPr>
          <w:rFonts w:ascii="Times New Roman" w:hAnsi="Times New Roman" w:cs="Times New Roman"/>
          <w:i/>
          <w:lang w:val="ro-RO"/>
        </w:rPr>
        <w:t>4-lea centru universitar al țării</w:t>
      </w:r>
      <w:r w:rsidR="00262B24" w:rsidRPr="000A18FF">
        <w:rPr>
          <w:rFonts w:ascii="Times New Roman" w:hAnsi="Times New Roman" w:cs="Times New Roman"/>
          <w:lang w:val="ro-RO"/>
        </w:rPr>
        <w:t>, concetrând 42.</w:t>
      </w:r>
      <w:r w:rsidRPr="000A18FF">
        <w:rPr>
          <w:rFonts w:ascii="Times New Roman" w:hAnsi="Times New Roman" w:cs="Times New Roman"/>
          <w:lang w:val="ro-RO"/>
        </w:rPr>
        <w:t>374 de studenți (în anul academic 2013-2014), din care 93% învață în cele 4 universități de stat</w:t>
      </w:r>
      <w:r w:rsidR="00262B24" w:rsidRPr="000A18FF">
        <w:rPr>
          <w:rFonts w:ascii="Times New Roman" w:hAnsi="Times New Roman" w:cs="Times New Roman"/>
          <w:lang w:val="ro-RO"/>
        </w:rPr>
        <w:t>,</w:t>
      </w:r>
      <w:r w:rsidRPr="000A18FF">
        <w:rPr>
          <w:rFonts w:ascii="Times New Roman" w:hAnsi="Times New Roman" w:cs="Times New Roman"/>
          <w:lang w:val="ro-RO"/>
        </w:rPr>
        <w:t xml:space="preserve"> care sunt </w:t>
      </w:r>
      <w:r w:rsidRPr="000A18FF">
        <w:rPr>
          <w:rFonts w:ascii="Times New Roman" w:hAnsi="Times New Roman" w:cs="Times New Roman"/>
          <w:i/>
          <w:lang w:val="ro-RO"/>
        </w:rPr>
        <w:t>foarte bine plasate în ierarhia națională</w:t>
      </w:r>
      <w:r w:rsidRPr="000A18FF">
        <w:rPr>
          <w:rFonts w:ascii="Times New Roman" w:hAnsi="Times New Roman" w:cs="Times New Roman"/>
          <w:lang w:val="ro-RO"/>
        </w:rPr>
        <w:t xml:space="preserve">: o universitate fiind de </w:t>
      </w:r>
      <w:r w:rsidRPr="000A18FF">
        <w:rPr>
          <w:rFonts w:ascii="Times New Roman" w:hAnsi="Times New Roman" w:cs="Times New Roman"/>
          <w:i/>
          <w:lang w:val="ro-RO"/>
        </w:rPr>
        <w:t>cercetare avansată și educație</w:t>
      </w:r>
      <w:r w:rsidR="00262B24" w:rsidRPr="000A18FF">
        <w:rPr>
          <w:rFonts w:ascii="Times New Roman" w:hAnsi="Times New Roman" w:cs="Times New Roman"/>
          <w:lang w:val="ro-RO"/>
        </w:rPr>
        <w:t>, respectiv 3 universități</w:t>
      </w:r>
      <w:r w:rsidRPr="000A18FF">
        <w:rPr>
          <w:rFonts w:ascii="Times New Roman" w:hAnsi="Times New Roman" w:cs="Times New Roman"/>
          <w:lang w:val="ro-RO"/>
        </w:rPr>
        <w:t xml:space="preserve"> de </w:t>
      </w:r>
      <w:r w:rsidRPr="000A18FF">
        <w:rPr>
          <w:rFonts w:ascii="Times New Roman" w:hAnsi="Times New Roman" w:cs="Times New Roman"/>
          <w:i/>
          <w:lang w:val="ro-RO"/>
        </w:rPr>
        <w:t>educație și cercetare științifică</w:t>
      </w:r>
      <w:r w:rsidRPr="000A18FF">
        <w:rPr>
          <w:rFonts w:ascii="Times New Roman" w:hAnsi="Times New Roman" w:cs="Times New Roman"/>
          <w:lang w:val="ro-RO"/>
        </w:rPr>
        <w:t xml:space="preserve">. Învățământul universitar timișorean este, așadar, capabil de performanțe înalte de cercetare și educație, și – în același timp – bine conectat la nevoile pieței muncii, cele 40 de facultăți din cadrul universităților timișorene având profile foarte diversificate și organizând programe de studii pentru toate ciclurile de învățământ superior – licență, master, doctorat, respectiv postdoctorat. </w:t>
      </w:r>
    </w:p>
    <w:p w:rsidR="00820403" w:rsidRPr="000A18FF" w:rsidRDefault="00820403" w:rsidP="00820403">
      <w:pPr>
        <w:spacing w:after="0" w:line="240" w:lineRule="auto"/>
        <w:jc w:val="both"/>
        <w:rPr>
          <w:rFonts w:ascii="Times New Roman" w:hAnsi="Times New Roman" w:cs="Times New Roman"/>
          <w:lang w:val="ro-RO"/>
        </w:rPr>
      </w:pPr>
      <w:r w:rsidRPr="000A18FF">
        <w:rPr>
          <w:rFonts w:ascii="Times New Roman" w:hAnsi="Times New Roman" w:cs="Times New Roman"/>
          <w:lang w:val="ro-RO"/>
        </w:rPr>
        <w:t>Se înregistrază o scădere a numărului de studenți – fenomen prezent în toate centrele universitare dințară –, ca rezultat cumulativ al evoluției demografice, concurenței centrelor universitare europene și situației economico-sociale dificile.</w:t>
      </w:r>
    </w:p>
    <w:p w:rsidR="00820403" w:rsidRPr="000A18FF" w:rsidRDefault="00820403" w:rsidP="00820403">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ro-RO"/>
        </w:rPr>
        <w:t xml:space="preserve">Învățământul liceal acoperă întreaga paletă de filiere și este foarte diversificat în privința profilelor și domeniilor. </w:t>
      </w:r>
      <w:r w:rsidRPr="000A18FF">
        <w:rPr>
          <w:rFonts w:ascii="Times New Roman" w:hAnsi="Times New Roman" w:cs="Times New Roman"/>
          <w:lang w:val="fr-FR"/>
        </w:rPr>
        <w:t xml:space="preserve">Cel mai mare număr de elevi aparține filierei tehnologice (53,53%), urmată de cea teoretică (35,45%).  Pe domenii, cea mai mare pondere o deține cel de matematică-informatică (13,3%). Se constată o polarizare în privința nivelului de performanță: liceele de tradiție generează performanțe, ele trebuie susținute în activitatea de generare de performanțe la nivel național și internațional; în liceele tehnologice, nivelul de competențe generale este modest, iar competențele profesionale necesită o mai mare atenție, prin parteneriate cu actorii economici și implementarea stagiilor de internship. </w:t>
      </w:r>
    </w:p>
    <w:p w:rsidR="00820403" w:rsidRPr="000A18FF" w:rsidRDefault="00820403" w:rsidP="00820403">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În privința numărului de elevi per cadru didactic, situația este favorabilă la nivelul întregului învățământ preuniversitar (media fiind de 14,3, față de 14,79 la nivel național). În învățământul preșcolar din zona de influență, însă, numărul de elevi per cadru didactiv este cu cca 20% mai mare decât cel din Municipiul Timișoara, respectiv cu cca 30% mai mare față de media națională, rezultat al fluxului migratoriu însemnat de familii tinere cu copii de vârstă preșcolară.</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b/>
          <w:lang w:val="ro-RO"/>
        </w:rPr>
        <w:t>Nivelul și calitatea dotării</w:t>
      </w:r>
      <w:r w:rsidRPr="000A18FF">
        <w:rPr>
          <w:rFonts w:ascii="Times New Roman" w:hAnsi="Times New Roman" w:cs="Times New Roman"/>
          <w:lang w:val="ro-RO"/>
        </w:rPr>
        <w:t xml:space="preserve"> unităților de învățământ sunt diferențiate la nivelul PCT: în oraș, 85% din școli dețin laboratoare de științe și 100%, biblioteci; în zona de influență, doar 25% idn școli dețin laboratoare de științe și 51%, biblioteci. Nivelul de dotare cu computere e sensibil egal în școlile PCT (11,3 elevi/computer în oraș și 9 elevi /computer în zona de influență), iar conexiunea la internet este prezentă în toate școlile. </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Autoritățile locale au derulat numeroase proiecte de reabilitare parțială sau totală a clădirilor școlilor, astfel că doar în 20% din cazuri mai sunt necesare astfel de intervenții.</w:t>
      </w:r>
    </w:p>
    <w:p w:rsidR="00C60F9D" w:rsidRPr="000A18FF" w:rsidRDefault="00C60F9D"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Există, astfel, bune premise pentru îmbunătățirea calității formării profesionale a tinerilor în cadrul polului, pentru extinderea învățării pe tot parcursul vieții, în așa fel încât țintele de formare superioară și de ocupare a forței de muncă, decurgând din obiectivele prioritare ale Strategiei Europa 2020, să poată fi atinse.</w:t>
      </w:r>
    </w:p>
    <w:p w:rsidR="00820403" w:rsidRPr="000A18FF" w:rsidRDefault="00820403" w:rsidP="00820403">
      <w:pPr>
        <w:spacing w:after="0" w:line="240" w:lineRule="auto"/>
        <w:ind w:firstLine="720"/>
        <w:rPr>
          <w:rFonts w:ascii="Times New Roman" w:hAnsi="Times New Roman" w:cs="Times New Roman"/>
          <w:b/>
          <w:lang w:val="ro-RO"/>
        </w:rPr>
      </w:pPr>
    </w:p>
    <w:p w:rsidR="00820403" w:rsidRPr="000A18FF" w:rsidRDefault="00820403" w:rsidP="00820403">
      <w:pPr>
        <w:spacing w:after="0" w:line="240" w:lineRule="auto"/>
        <w:ind w:firstLine="720"/>
        <w:rPr>
          <w:rFonts w:ascii="Times New Roman" w:hAnsi="Times New Roman" w:cs="Times New Roman"/>
          <w:b/>
          <w:lang w:val="ro-RO"/>
        </w:rPr>
      </w:pPr>
      <w:r w:rsidRPr="000A18FF">
        <w:rPr>
          <w:rFonts w:ascii="Times New Roman" w:hAnsi="Times New Roman" w:cs="Times New Roman"/>
          <w:b/>
          <w:lang w:val="ro-RO"/>
        </w:rPr>
        <w:t>5.2. Sănătate</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Rețeaua de unități sanitare publice și private din PCT este extinsă și complexă, acoperă o paletă largă de specialități și patologii. Se constată o diferențiere netă, în favoarea Municipiului Timișoara, în privința concentrării spațiale a unităților sanitare, a complexității dotărilor și numărului de cadre medicale per locuitor, în concordanță cu caracterul orașului de pol regional de deservire medicală și de învățământ superior medical de tradiție. Municipiul Timişoara concentrează cea mai importantă parte a dotărilor pentru sănătate nu doar la nivelul PCT, ci și la nivelul judeţului (peste 70%) și chiar al regiunii (peste 30%).</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 xml:space="preserve">Zona de influență, însă, prezintă indici de deservire sanitară de 10 mai mici față de cei ai orașului (1,22 medici la 1000 de locuitori, față de 12,5, la nivelul orașului). Accesul la servicii sanitare de calitate este, încă, afectat de starea fizică precară a unui număr mare de spații și instalații din unitățile sanitare publice. Starea de sănătate a populației este marcată de incidența unor boli care se pot preveni în mare </w:t>
      </w:r>
      <w:r w:rsidRPr="000A18FF">
        <w:rPr>
          <w:rFonts w:ascii="Times New Roman" w:hAnsi="Times New Roman" w:cs="Times New Roman"/>
          <w:lang w:val="ro-RO"/>
        </w:rPr>
        <w:lastRenderedPageBreak/>
        <w:t>parte (boli cardio-vasculare, respectiv boli de nutriție), ceea ce evidențiază importanța unor măsuri de educație pentru sănătate și aplicarea prevederilor privind obligativitaea valuării periodice de către medicii de familie și instituții a stării de sănătate a pacienților, respectiv angajaților.</w:t>
      </w:r>
    </w:p>
    <w:p w:rsidR="00820403" w:rsidRPr="000A18FF" w:rsidRDefault="00820403" w:rsidP="00820403">
      <w:pPr>
        <w:spacing w:after="0" w:line="240" w:lineRule="auto"/>
        <w:ind w:firstLine="720"/>
        <w:rPr>
          <w:rFonts w:ascii="Times New Roman" w:hAnsi="Times New Roman" w:cs="Times New Roman"/>
          <w:b/>
          <w:lang w:val="ro-RO"/>
        </w:rPr>
      </w:pPr>
    </w:p>
    <w:p w:rsidR="00820403" w:rsidRPr="000A18FF" w:rsidRDefault="00820403" w:rsidP="00820403">
      <w:pPr>
        <w:spacing w:after="0" w:line="240" w:lineRule="auto"/>
        <w:ind w:firstLine="720"/>
        <w:rPr>
          <w:rFonts w:ascii="Times New Roman" w:hAnsi="Times New Roman" w:cs="Times New Roman"/>
          <w:b/>
          <w:lang w:val="ro-RO"/>
        </w:rPr>
      </w:pPr>
      <w:r w:rsidRPr="000A18FF">
        <w:rPr>
          <w:rFonts w:ascii="Times New Roman" w:hAnsi="Times New Roman" w:cs="Times New Roman"/>
          <w:b/>
          <w:lang w:val="ro-RO"/>
        </w:rPr>
        <w:t>5.3. Asistență socială</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 xml:space="preserve">Domeniul asistenței sociale este dezvoltat în Municipiul Timișoara, aici existând structuri și servicii destinate nevoilor tuturor persoanelor și grupurilor defavorizate identificate de prevederile legale. Primăria Municipiului Timișoara a derulat numeroase proiecte destinate extinderii, dotării și modernizării structurilor și serviciilor sociale, respectiv parteneriate cu mediul universitar. În ultimii ani, s-a dezvoltat o rețea de furnizori privați de servicii sociale, de asemenea, concentrați în Municipiul Timișoara. </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La nivelul zonei de influență a Municipiului Timișoara, doar două din cele 14 comune situate în zona de influență oferă servicii sociale, în celelalte comune, asistența socială reducându-se la acordare ajutorului social garantat de lege.</w:t>
      </w:r>
    </w:p>
    <w:p w:rsidR="00820403" w:rsidRPr="000A18FF" w:rsidRDefault="00820403" w:rsidP="00820403">
      <w:pPr>
        <w:spacing w:after="0" w:line="240" w:lineRule="auto"/>
        <w:rPr>
          <w:rFonts w:ascii="Times New Roman" w:hAnsi="Times New Roman" w:cs="Times New Roman"/>
          <w:b/>
          <w:lang w:val="ro-RO"/>
        </w:rPr>
      </w:pPr>
    </w:p>
    <w:p w:rsidR="00820403" w:rsidRPr="000A18FF" w:rsidRDefault="00820403" w:rsidP="00820403">
      <w:pPr>
        <w:spacing w:after="0" w:line="240" w:lineRule="auto"/>
        <w:ind w:firstLine="720"/>
        <w:rPr>
          <w:rFonts w:ascii="Times New Roman" w:hAnsi="Times New Roman" w:cs="Times New Roman"/>
          <w:b/>
          <w:lang w:val="ro-RO"/>
        </w:rPr>
      </w:pPr>
      <w:r w:rsidRPr="000A18FF">
        <w:rPr>
          <w:rFonts w:ascii="Times New Roman" w:hAnsi="Times New Roman" w:cs="Times New Roman"/>
          <w:b/>
          <w:lang w:val="ro-RO"/>
        </w:rPr>
        <w:t>5.4. Locuire</w:t>
      </w:r>
    </w:p>
    <w:p w:rsidR="00820403" w:rsidRPr="000A18FF" w:rsidRDefault="00820403" w:rsidP="00820403">
      <w:pPr>
        <w:spacing w:after="0" w:line="240" w:lineRule="auto"/>
        <w:ind w:firstLine="720"/>
        <w:jc w:val="both"/>
        <w:rPr>
          <w:rFonts w:ascii="Times New Roman" w:hAnsi="Times New Roman" w:cs="Times New Roman"/>
          <w:lang w:val="ro-RO"/>
        </w:rPr>
      </w:pPr>
      <w:r w:rsidRPr="000A18FF">
        <w:rPr>
          <w:rFonts w:ascii="Times New Roman" w:hAnsi="Times New Roman" w:cs="Times New Roman"/>
          <w:lang w:val="ro-RO"/>
        </w:rPr>
        <w:t>Fondul de locuințe a cunoscut o evoluție ascendentă în intervalul analizat, cu precădere în zona de influență, care concentrează 75% din creșterea rezidențială. Majoritatea covârșitoare a locuințelor sunt deținute în proprietate privată. Fondul de locuințe aflat în proprietatea autorităților locale este insignifiant în oraș și cvasiinexistent în comunele din zona de influență. Din perspectiva locuirii, orașul se confruntă cu: confortul redus și degradarea caracteristice imobilelor de habitat colectiv construite în timpul regimului comunist (40% din total); deservire de tip urban deficientă (în cartierele periferice);  funcțiuni incompatibile cu locuirea; stare avansată de degradare a clădirilor istorice sau vechi (40% din total). În comunele din zona de influență, calitatea locuirii este afectată de: densificarea intensă (numărul de locuințe a crescut cu cca 30%, iar suprafața locuibilă, cu cca 60%); incoerență urbanistică; deservire deficitară; caracterul neplanificat până foarte recent al dezvoltării rezidențiale, ceea ce îngreunează rezolvarea problemelor de deservire și acces.</w:t>
      </w:r>
    </w:p>
    <w:p w:rsidR="00AB76CF" w:rsidRPr="000A18FF" w:rsidRDefault="00AB76CF" w:rsidP="006257CA">
      <w:pPr>
        <w:spacing w:after="0" w:line="240" w:lineRule="auto"/>
        <w:jc w:val="both"/>
        <w:rPr>
          <w:rFonts w:ascii="Times New Roman" w:hAnsi="Times New Roman" w:cs="Times New Roman"/>
          <w:b/>
          <w:lang w:val="ro-RO"/>
        </w:rPr>
      </w:pPr>
    </w:p>
    <w:p w:rsidR="00AB76CF" w:rsidRPr="000A18FF" w:rsidRDefault="0042438B" w:rsidP="003F6119">
      <w:pPr>
        <w:pStyle w:val="ListParagraph"/>
        <w:numPr>
          <w:ilvl w:val="0"/>
          <w:numId w:val="5"/>
        </w:numPr>
        <w:spacing w:after="0" w:line="240" w:lineRule="auto"/>
        <w:ind w:left="360"/>
        <w:jc w:val="center"/>
        <w:rPr>
          <w:rFonts w:ascii="Times New Roman" w:hAnsi="Times New Roman" w:cs="Times New Roman"/>
          <w:b/>
          <w:u w:val="single"/>
          <w:lang w:val="fr-FR"/>
        </w:rPr>
      </w:pPr>
      <w:r w:rsidRPr="000A18FF">
        <w:rPr>
          <w:rFonts w:ascii="Times New Roman" w:hAnsi="Times New Roman" w:cs="Times New Roman"/>
          <w:b/>
          <w:u w:val="single"/>
          <w:lang w:val="fr-FR"/>
        </w:rPr>
        <w:t>MEDIUL</w:t>
      </w:r>
    </w:p>
    <w:p w:rsidR="0042438B" w:rsidRPr="000A18FF" w:rsidRDefault="0042438B" w:rsidP="0042438B">
      <w:pPr>
        <w:pStyle w:val="ListParagraph"/>
        <w:spacing w:after="0" w:line="240" w:lineRule="auto"/>
        <w:ind w:left="1440"/>
        <w:jc w:val="both"/>
        <w:rPr>
          <w:rFonts w:ascii="Times New Roman" w:hAnsi="Times New Roman" w:cs="Times New Roman"/>
          <w:b/>
          <w:lang w:val="fr-FR"/>
        </w:rPr>
      </w:pP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Spaţiul urban, prin intensitatea, complexitatea şi dinamica activităţilor pe care le găzduieşte, îşi pune amprenta asupra mediului înconjurător, cu intensităţi şi manifestări diferite, cu o descreştere a gradului de intensitate de la centrul municipiului, concentric către periferie şi în spaţiul rural al polului de creştere.</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Există preocupări şi potenţial ridicat de pregătire performantă în domeniul protecţiei mediului, atât în mediul universitar cât şi în mediul cercetării, iar colaborarea specialiştilor de la instituţiile de profil a făcut posibilă monitorizarea stării mediului din arealul polului de creştere.</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Starea mediului înconjurător afectează în mod direct sănătatea populaţiei, iar impactul poluanţilor asupra aerului afectează sănătatea acesteia pe termen scurt, mediu şi lung şi de cele mai multe ori degradează ecosistemele naturale, corodează anumite materiale sau elemente arhitectonice ale clădirilor cu valoare de patrimoniu. Calitatea aerului este monitorizată permanent prin intermediul Reţelei Naţionale de Monitorizare a Calităţii Aerului (RNMCA). Prin Programul Integrat de gestionare a calităţii aerului, monitorizarea calităţii aerului s-a extins de la municipiul Timişoara şi către comunele Remetea Mare şi Şag. Din monitorizările efectuate, s-au constatat mai multe depăşiri ale valorilor optime, atât la pulberile solide cât şi la cele sedimentabile, toate afectând calitatea aerului în mai multe puncte din municipiul Timişoara: SC COLTERM, CET Sud şi CET Centru, Continental. Cu toate acestea, putem afirma că în polul de creştere nu există zone critice, cu poluări masive asupra factorilor de mediu şi pe arii extinse.</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lastRenderedPageBreak/>
        <w:t>În ceea ce priveşte poluarea fonică, Primăria Municipiului Timişoara a elaborat hărţile de zgomot pentru toate categoriile de trafic și a pus în aplicare Planurile de acţiune care cuprind măsuri de prevenire şi reducere a zgomotului ambiental.</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Calitatea apelor pe cele două râuri Bega şi Timiş, pe tronsoanele aferente polului de creştere, este bună, încadrându-se în categoria de potenţial ecologic bun, cu un impact pozitiv asupra valorificării potenţialului de agrement al malurilor apelor (râuri, lacuri). </w:t>
      </w:r>
    </w:p>
    <w:p w:rsidR="00AB76CF" w:rsidRPr="000A18FF" w:rsidRDefault="00AB76CF" w:rsidP="006257CA">
      <w:pPr>
        <w:spacing w:after="0" w:line="240" w:lineRule="auto"/>
        <w:jc w:val="both"/>
        <w:rPr>
          <w:rFonts w:ascii="Times New Roman" w:hAnsi="Times New Roman" w:cs="Times New Roman"/>
          <w:lang w:val="fr-FR"/>
        </w:rPr>
      </w:pPr>
      <w:r w:rsidRPr="000A18FF">
        <w:rPr>
          <w:rFonts w:ascii="Times New Roman" w:hAnsi="Times New Roman" w:cs="Times New Roman"/>
          <w:lang w:val="fr-FR"/>
        </w:rPr>
        <w:t>De asemenea, menţionăm faptul că, la moderna staţie de epurare a apelor uzate, peste 80% din procesele de epurare sunt monitorizate automat, se folosesc procese de epurare mecanică, biologică, de tratare a nămolului şi de testare a calităţii apei, toate asigurând o bună calitate a apei deversate în Bega.</w:t>
      </w:r>
    </w:p>
    <w:p w:rsidR="00AB76CF" w:rsidRPr="000A18FF" w:rsidRDefault="00AB76CF" w:rsidP="006257CA">
      <w:pPr>
        <w:spacing w:after="0" w:line="240" w:lineRule="auto"/>
        <w:jc w:val="both"/>
        <w:rPr>
          <w:rFonts w:ascii="Times New Roman" w:hAnsi="Times New Roman" w:cs="Times New Roman"/>
          <w:lang w:val="fr-FR"/>
        </w:rPr>
      </w:pPr>
      <w:r w:rsidRPr="000A18FF">
        <w:rPr>
          <w:rFonts w:ascii="Times New Roman" w:hAnsi="Times New Roman" w:cs="Times New Roman"/>
          <w:lang w:val="fr-FR"/>
        </w:rPr>
        <w:t>La nivelul polului de creştere, se constată un grad mare de acoperire al serviciilor de salubritate efectuate de către RETIM. În domeniul gestionării deşeurilor, s-au realizat câteva obiective de excepţie, și anume: cea mai modernă staţie de sortare a deşeurilor urbane din România, Timişoara fiind primul oraş din ţară care a implementat conceptul “zero deşeuri”, proiect care a devenit realitate; rampa ecologică de la Ghizela, staţia de transfer a deşeurilor de la Timişoara, amplasarea în cartiere şi în multe localităţi rurale ale polului de creştere a containerelor de colectare selectivă a deşeurilor solide, sistem folosit cu succes. Acest mod de colectarea deșeurilor, considerat un model şi exemplu, a fost ulterior preluat de mai multe oraşe şi sate din România; menționăm de asemenea colectarea deşeurilor DEEP, amplasarea de pubele umede şi pubele uscate etc. Pentru dezvoltarea tuturor acestor activităţi de colectare a deşeurilor există şi o foarte bună logistică.</w:t>
      </w:r>
    </w:p>
    <w:p w:rsidR="00AB76CF" w:rsidRPr="000A18FF" w:rsidRDefault="00AB76CF" w:rsidP="006257CA">
      <w:pPr>
        <w:spacing w:after="0" w:line="240" w:lineRule="auto"/>
        <w:ind w:firstLine="360"/>
        <w:jc w:val="both"/>
        <w:rPr>
          <w:rFonts w:ascii="Times New Roman" w:hAnsi="Times New Roman" w:cs="Times New Roman"/>
        </w:rPr>
      </w:pPr>
      <w:r w:rsidRPr="000A18FF">
        <w:rPr>
          <w:rFonts w:ascii="Times New Roman" w:hAnsi="Times New Roman" w:cs="Times New Roman"/>
        </w:rPr>
        <w:t>Concluzionăm cu câteva date comparative între anii 2013 şi 2014:</w:t>
      </w:r>
    </w:p>
    <w:p w:rsidR="00AB76CF" w:rsidRPr="000A18FF" w:rsidRDefault="00AB76CF" w:rsidP="006257CA">
      <w:pPr>
        <w:pStyle w:val="ListParagraph"/>
        <w:numPr>
          <w:ilvl w:val="0"/>
          <w:numId w:val="4"/>
        </w:numPr>
        <w:spacing w:after="0" w:line="240" w:lineRule="auto"/>
        <w:jc w:val="both"/>
        <w:rPr>
          <w:rFonts w:ascii="Times New Roman" w:hAnsi="Times New Roman" w:cs="Times New Roman"/>
          <w:lang w:val="fr-FR"/>
        </w:rPr>
      </w:pPr>
      <w:r w:rsidRPr="000A18FF">
        <w:rPr>
          <w:rFonts w:ascii="Times New Roman" w:hAnsi="Times New Roman" w:cs="Times New Roman"/>
          <w:lang w:val="fr-FR"/>
        </w:rPr>
        <w:t>Datorită unui management performant al deşeurilor, cantitatea de deşeuri menajere colectate a crescut în 2014 faţă de 2013 cu 4%;</w:t>
      </w:r>
    </w:p>
    <w:p w:rsidR="00AB76CF" w:rsidRPr="000A18FF" w:rsidRDefault="00AB76CF" w:rsidP="006257CA">
      <w:pPr>
        <w:pStyle w:val="ListParagraph"/>
        <w:numPr>
          <w:ilvl w:val="0"/>
          <w:numId w:val="4"/>
        </w:numPr>
        <w:spacing w:after="0" w:line="240" w:lineRule="auto"/>
        <w:jc w:val="both"/>
        <w:rPr>
          <w:rFonts w:ascii="Times New Roman" w:hAnsi="Times New Roman" w:cs="Times New Roman"/>
          <w:lang w:val="fr-FR"/>
        </w:rPr>
      </w:pPr>
      <w:r w:rsidRPr="000A18FF">
        <w:rPr>
          <w:rFonts w:ascii="Times New Roman" w:hAnsi="Times New Roman" w:cs="Times New Roman"/>
          <w:lang w:val="fr-FR"/>
        </w:rPr>
        <w:t>Datorită staţiei moderne de sortare a deşeurilor, a crescut şi cantitatea de deşeuri supusă valorificării energetic cu 39% în 2014;</w:t>
      </w:r>
    </w:p>
    <w:p w:rsidR="00AB76CF" w:rsidRPr="000A18FF" w:rsidRDefault="00AB76CF" w:rsidP="006257CA">
      <w:pPr>
        <w:pStyle w:val="ListParagraph"/>
        <w:numPr>
          <w:ilvl w:val="0"/>
          <w:numId w:val="4"/>
        </w:numPr>
        <w:spacing w:after="0" w:line="240" w:lineRule="auto"/>
        <w:jc w:val="both"/>
        <w:rPr>
          <w:rFonts w:ascii="Times New Roman" w:hAnsi="Times New Roman" w:cs="Times New Roman"/>
          <w:lang w:val="fr-FR"/>
        </w:rPr>
      </w:pPr>
      <w:r w:rsidRPr="000A18FF">
        <w:rPr>
          <w:rFonts w:ascii="Times New Roman" w:hAnsi="Times New Roman" w:cs="Times New Roman"/>
          <w:lang w:val="fr-FR"/>
        </w:rPr>
        <w:t>Cantitatea de deşeuri reciclabile colectate a crescut cu 2,9%;</w:t>
      </w:r>
    </w:p>
    <w:p w:rsidR="00AB76CF" w:rsidRPr="000A18FF" w:rsidRDefault="00AB76CF" w:rsidP="006257CA">
      <w:pPr>
        <w:pStyle w:val="ListParagraph"/>
        <w:numPr>
          <w:ilvl w:val="0"/>
          <w:numId w:val="4"/>
        </w:numPr>
        <w:spacing w:after="0" w:line="240" w:lineRule="auto"/>
        <w:jc w:val="both"/>
        <w:rPr>
          <w:rFonts w:ascii="Times New Roman" w:hAnsi="Times New Roman" w:cs="Times New Roman"/>
          <w:lang w:val="fr-FR"/>
        </w:rPr>
      </w:pPr>
      <w:r w:rsidRPr="000A18FF">
        <w:rPr>
          <w:rFonts w:ascii="Times New Roman" w:hAnsi="Times New Roman" w:cs="Times New Roman"/>
          <w:lang w:val="fr-FR"/>
        </w:rPr>
        <w:t>Urmare a colectării selective şi a celei duale, a creşterii volumului deşeurilor valorificate energetic, cât şi a unui sistem integrat de gestionare a deşeurilor menajere, a scăzut în 2014 cantitatea de deşeuri supusă depozitării finale cu 6,5%;</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Prin RETIM Ecologic Service, se efectuează salubrizarea localităţilor din comunele: Chişoda, Dumbrăviţa, Giroc, Ghiroda, Moşniţa Nouă, Remetea Mare, Şag, etc.</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În anumite zone ale PCT se desfăşoară ample lucrări de reabilitare şi ecologizare a siturilor industriale, contaminate istoric, a depozitelor clandestine de deşeuri rezultate din demolări de construcţii (un exemplu ar fi zona dintre CET Sud şi Gara CFR Timişoara Sud), pe viitor aceste spaţii urmând să fie destinate unor noi folosinţe sau utilităţi. </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La nivelul polului de creştere Timişoara, protecţia mediului şi a sănătăţii publice se asigură prin calitatea factorilor de mediu, calitate care constă în reducerea noxelor şi a agenţilor poluatori, prin calitatea apelor de suprafaţă şi subterane, prin atenuarea zgomotului în spaţiile rezidenţiale şi cele de recreere, în spaţiile publice, la care se adaugă şi implementarea cu succes a Sistemului de Management Integrat al Deşeurilor (SMID).</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Pentru a face față schimbărilor climatice actuale, Primăria Municipiului Timişoara împreună cu instituţiile de profil, cu cele executante şi cu institutele de cercetare au elaborat o serie de măsuri care să contribuie la adaptabilitatea spaţiilor urbane privind îmbunătăţirea eficienţei energetice a clădirilor, plantarea de arbori, pentru prevenirea şi gestionarea situaţiilor de riscuri naturale (inundaţii, cutremure, fenomene climatice de risc, etc), iar pentru protecţia locuitorilor din polul de creştere s-au implementat infrastructuri adecvate, indiguiri, consolidări de maluri.</w:t>
      </w:r>
    </w:p>
    <w:p w:rsidR="00EF609F" w:rsidRDefault="00EF609F">
      <w:pPr>
        <w:rPr>
          <w:rFonts w:ascii="Times New Roman" w:hAnsi="Times New Roman" w:cs="Times New Roman"/>
          <w:b/>
          <w:lang w:val="fr-FR"/>
        </w:rPr>
      </w:pPr>
      <w:r>
        <w:rPr>
          <w:rFonts w:ascii="Times New Roman" w:hAnsi="Times New Roman" w:cs="Times New Roman"/>
          <w:b/>
          <w:lang w:val="fr-FR"/>
        </w:rPr>
        <w:br w:type="page"/>
      </w:r>
    </w:p>
    <w:p w:rsidR="002E0FE9" w:rsidRPr="000A18FF" w:rsidRDefault="002E0FE9" w:rsidP="006257CA">
      <w:pPr>
        <w:spacing w:after="0" w:line="240" w:lineRule="auto"/>
        <w:jc w:val="both"/>
        <w:rPr>
          <w:rFonts w:ascii="Times New Roman" w:hAnsi="Times New Roman" w:cs="Times New Roman"/>
          <w:b/>
          <w:lang w:val="fr-FR"/>
        </w:rPr>
      </w:pPr>
    </w:p>
    <w:p w:rsidR="006257CA" w:rsidRPr="000A18FF" w:rsidRDefault="0042438B" w:rsidP="003F6119">
      <w:pPr>
        <w:pStyle w:val="ListParagraph"/>
        <w:numPr>
          <w:ilvl w:val="0"/>
          <w:numId w:val="5"/>
        </w:numPr>
        <w:spacing w:after="0" w:line="240" w:lineRule="auto"/>
        <w:ind w:left="360"/>
        <w:jc w:val="center"/>
        <w:rPr>
          <w:rFonts w:ascii="Times New Roman" w:hAnsi="Times New Roman" w:cs="Times New Roman"/>
          <w:b/>
          <w:u w:val="single"/>
          <w:lang w:val="fr-FR"/>
        </w:rPr>
      </w:pPr>
      <w:r w:rsidRPr="000A18FF">
        <w:rPr>
          <w:rFonts w:ascii="Times New Roman" w:hAnsi="Times New Roman" w:cs="Times New Roman"/>
          <w:b/>
          <w:u w:val="single"/>
          <w:lang w:val="fr-FR"/>
        </w:rPr>
        <w:t>CULTURA</w:t>
      </w:r>
    </w:p>
    <w:p w:rsidR="003F6119" w:rsidRPr="000A18FF" w:rsidRDefault="003F6119" w:rsidP="003F6119">
      <w:pPr>
        <w:pStyle w:val="ListParagraph"/>
        <w:spacing w:after="0" w:line="240" w:lineRule="auto"/>
        <w:ind w:left="360"/>
        <w:rPr>
          <w:rFonts w:ascii="Times New Roman" w:hAnsi="Times New Roman" w:cs="Times New Roman"/>
          <w:b/>
          <w:u w:val="single"/>
          <w:lang w:val="fr-FR"/>
        </w:rPr>
      </w:pP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Concentrând esența identitară a spațiului bănățean, Polul de Creştere Timişoara se remarcă prin multiculturalitate – ca o trăsătură caracteristică tradițională – , iar Timişoara drept un pol cultural cu largă deschidere internaţională, spaţiu geografic conectat de câteva secole la circuitul european al valorilor culturale, oraş poziţionat în elita centrelor cultural din această parte a Europei, afirmat ca o destinaţie turistică cultural din ce în ce mai atractivă.</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Un punct forte al Polului de Creştere Timișoara este faptul că găzduieşte un număr impresionant de evenimente culturale, cu manifestări moderne, în care arta spectacolului coboară în stradă, în spaţiile libere (pieţele şi zonele pietonale istorice, parcuri, scuaruri, faleza canalului Bega, Muzeul satului bănăţean, mănăstiri, spaţii industriale, aeroport, etc). Asemenea practici au impact pozitiv multiplu: atrag noi categorii de public, pun în valoare patrimonial cultural-istoric şi religios, marile festivaluri de gen având ecou şi în plan transfrontalier.</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În plus, se evidențiază și un alt aspect pozitiv: Timişoara ocupă locul doi, după Bucureşti, la numărul de locuri în sălile de spectacole – peste 2900 de locuri – , iar mai recent, se remarcă implicarea locuitorilor PCT ca voluntari în organizarea şi promovarea evenimentelor cultural-artistice.</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Polul de creştere se prezintă cu o bogată şi diversificată agendă culturală, care reflectă manifestarea modului de viaţă al locuitorilor. Cea mai mare parte a infrastructurii activităţilor cultural se concentrează în Timişoara. Aşezările rurale dispun și ele de cămine şi case culturale, de scene pentru spectacole în aer liber, cu toate dotările necesare pentru a organiza manifestări culturale de ţinută. Ca urmare, unele dintre acestea au devenit tradiţionale și ecou din ce în ce mai larg.</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Recent a fost tipărit “Ghidul explicativ al denumirii străzilor din Timişoara”, care atestă, odată în plus, diversitatea multiculturală şi interculturalitatea, ca o caracteristică a realităţii prezente.</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Timişoara – inima Banatului – organizează în fiecare an cel mai mare festival internaţional de folclor din România – Festivalul Inimilor.</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De asemenea, muzeele – edificii culturale de mare atractivitate pentru turişti – sunt amenajate în palate, castele sau clădiri impozante, clădiri cu valoare arhitectonică şi de patrimoniu, în care sunt etalate colecţii inedite cu valoare excepţională. Unele dintre aceste clădiri necesită însă lucrări de renovare, iar altele, cum este Castelul Huniade se află în restaurare-conservare, care durează însă de prea mult timp, fapt care le-a scos din circuitul turistic şi de vizitare.</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Mai mult, Timișoara dispune de cea mai mare rezervaţie de arhitectură şi ansambluri arhitecturale din ţară, o treime dintre aceste clădiri cu valoare de patrimoniu, înscriindu-se predominant în stilul baroc. Din nefericire, multe dintre clădiri se află într-o stare avansată de degradare, fiind necesare urgent ample lucrări de restaurare şi conservare. Conștientizând această necesitate,  Primăria Municipiului Timişoara a implementat Programul municipal de reabilitare a faţadelor unor clădiri proprietate privată, clădiri care înmagazinează o valoare arhitecturală şi istorică deosebită, acțiune de pionierat în România.</w:t>
      </w:r>
    </w:p>
    <w:p w:rsidR="006257CA" w:rsidRPr="000A18FF" w:rsidRDefault="006257CA"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Se constată, astfel, că în Polul de Creştere Timișoara s-a trecut la o valorizare inteligentă a valorilor autentice, la prezervarea și promovarea tradițiilor, astfel încât să fie mai bine evidențiate elementele de identaitate locală și regională, respectiv prioritățile Timișoarei la nivel național și european.</w:t>
      </w:r>
    </w:p>
    <w:p w:rsidR="006257CA" w:rsidRPr="000A18FF" w:rsidRDefault="006257CA" w:rsidP="006257CA">
      <w:pPr>
        <w:spacing w:after="0" w:line="240" w:lineRule="auto"/>
        <w:jc w:val="both"/>
        <w:rPr>
          <w:rFonts w:ascii="Times New Roman" w:hAnsi="Times New Roman" w:cs="Times New Roman"/>
          <w:b/>
          <w:lang w:val="fr-FR"/>
        </w:rPr>
      </w:pPr>
    </w:p>
    <w:p w:rsidR="00AB76CF" w:rsidRPr="000A18FF" w:rsidRDefault="0042438B" w:rsidP="003F6119">
      <w:pPr>
        <w:pStyle w:val="ListParagraph"/>
        <w:numPr>
          <w:ilvl w:val="0"/>
          <w:numId w:val="5"/>
        </w:numPr>
        <w:spacing w:after="0" w:line="240" w:lineRule="auto"/>
        <w:ind w:left="360"/>
        <w:jc w:val="center"/>
        <w:rPr>
          <w:rFonts w:ascii="Times New Roman" w:hAnsi="Times New Roman" w:cs="Times New Roman"/>
          <w:b/>
          <w:u w:val="single"/>
          <w:lang w:val="fr-FR"/>
        </w:rPr>
      </w:pPr>
      <w:r w:rsidRPr="000A18FF">
        <w:rPr>
          <w:rFonts w:ascii="Times New Roman" w:hAnsi="Times New Roman" w:cs="Times New Roman"/>
          <w:b/>
          <w:u w:val="single"/>
          <w:lang w:val="fr-FR"/>
        </w:rPr>
        <w:t>TURISM-PATRIMONIU</w:t>
      </w:r>
    </w:p>
    <w:p w:rsidR="003F6119" w:rsidRPr="000A18FF" w:rsidRDefault="003F6119" w:rsidP="003F6119">
      <w:pPr>
        <w:pStyle w:val="ListParagraph"/>
        <w:spacing w:after="0" w:line="240" w:lineRule="auto"/>
        <w:ind w:left="360"/>
        <w:rPr>
          <w:rFonts w:ascii="Times New Roman" w:hAnsi="Times New Roman" w:cs="Times New Roman"/>
          <w:b/>
          <w:u w:val="single"/>
          <w:lang w:val="fr-FR"/>
        </w:rPr>
      </w:pP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Turismul în Polul de Creştere Timişoara se bazează pe un potenţial natural specific zonei de câmpie, pe moştenirea unui patrimoniu multicultural de mare valoare, pe o infrastructură turistică şi de alimentaţie publică (restaurante, baruri, cafenele, pub-uri) modernă, de foarte bună calitate şi confort, pe ospitalitatea şi modul de viaţă al locuitorilor.</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lastRenderedPageBreak/>
        <w:t>Tipurile şi formele de turism practicate, în primul rând cel cultural, apoi turismul de afaceri, etnic, de tranzit – au ca ţintă redescoperirea patrimoniului cultural, a peisajelor culturale, precum şi experimentarea activităţilor specifice locuitorilor.</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Un aspect deosebit pentru Timişoara este acela că zona cea mai atractivă din punct de vedere touristic rămâne centrul istoric, vechiul nucleu urban, cu cele trei cartiere istorice ale sale, Cetate, Iosefin şi Fabric. În acestea se întrepătrund şi sunt într-o conexiune perfectă ansamblurile arhitecturale (în număr de 34 în Cartierul Cetate, 12 în Cartierul Fabric şi 15 în cartierul Iosefin), cu spaţiile verzi de amplă extensiune, cu structurile de primire turistică şi de alimentaţie publică, cu cele două clădiri simbol ale Timişoarei: Catedrala şi Opera, alături de alte edificii religioase sau cu funcţie culturală. Aceste obiective prezintă o concentrare mare în primul şi în al doilea inel, care se suprapun centrului istoric şi prezintă o maximă atractivitate pentru turişti.</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Din cele peste 14500 de obiective şi clădiri istorice – cel mai amplu patrimoniu de ansambluri de arhitectură şi monumente din România – amplasate în vechiul nucleu urban, multe se prezintă într-o stare avansată de uzură (mai ales la faţade), necesitând ample lucrări de restaurare, conservare, refuncţionalizări şi modernizări, lucrări necesare şi în centrele istorice rurale ale P.C.T.</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Totodată, recentele descoperiri arheologice din perimetrul centrului istoric al Timișoarei, prin conservare, restaurare şi punere în valoare ridică gradul de atractivitate turistică al P.C.T.</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La Timişoara, putem vorbi despre festivaluri şi evenimente cu semnificaţie cultural-artistică naţională sau internaţională: “Timişoara – Mica Vienă”, “Festivalul Dramaturgiei Româneşti”, “Festivalul de Jazz”, “Festivalul Internaţional de Folclor”, “Festivalul Inimilor”, “Street Delivery” etc, evenimente care au creat o nouă imagine oraşului, consolidându-şi renumele de Capitala Banatului şi de centru artistic major al României, cu deschidere tradiţională a relațiilor în plan transfrontalier.</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O realizare recentă şi cu impact în dezvoltarea turismului transfrontalier şi în special a cicloturismului este amenajarea pe ambele maluri ale canalului Bega a pistei pentru biciclete.</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Polul de Creştere Timișoara deţine importante resurse turistice, deosebit de atractive, aparţinând și cadrului natural, cum sunt: ape geotermale şi termo-minerale, cursuri de râuri cu malurile lor, lacuri, liziere de pădure, gaze terapeutice – la Pişchia, însă foarte puţine spaţii sunt valorificate pentru agreement, recreere, divertisment și amenajări care să susţină cererea turistică a timişorenilor pentru asemenea forme de turism. De asemenea, nu pot fi integrate în circuite turistice tematice o serie de monumente sau edificii culturale, din cauza stării necorespunzătoare de conservare şi restaurare.</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De cele mai multe ori, cererea locuitorilor Timişoarei pentru turismul de agreement şi recreere din sezonul estival este satisfăcută de produse turistice oferite de alte zone turistice, aflate la distanţe mai mari şi chiar peste graniţă.</w:t>
      </w:r>
    </w:p>
    <w:p w:rsidR="00AB76CF" w:rsidRPr="000A18FF" w:rsidRDefault="00AB76CF" w:rsidP="006257CA">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Prin proiecte europene în mai multe centre de comună din PCT, s-au deschis sau urmează să se finalizeze Centre de informare turistică, cu personal angajat de specialitate la Dudeştii Noi, Giroc, Pişchia ș.a., toate având ca scop promovarea patrimoniului turistic local şi valorificarea potenţialului turistic natural și cultural al polului.   </w:t>
      </w:r>
    </w:p>
    <w:p w:rsidR="00B83D3C" w:rsidRPr="000A18FF" w:rsidRDefault="00B83D3C" w:rsidP="00F064AE">
      <w:pPr>
        <w:spacing w:after="0" w:line="240" w:lineRule="auto"/>
        <w:rPr>
          <w:rFonts w:ascii="Times New Roman" w:hAnsi="Times New Roman" w:cs="Times New Roman"/>
          <w:lang w:val="fr-FR"/>
        </w:rPr>
      </w:pPr>
    </w:p>
    <w:p w:rsidR="00A76CC5" w:rsidRPr="0088718C" w:rsidRDefault="00A76CC5" w:rsidP="0088718C">
      <w:pPr>
        <w:pStyle w:val="ListParagraph"/>
        <w:numPr>
          <w:ilvl w:val="0"/>
          <w:numId w:val="5"/>
        </w:numPr>
        <w:spacing w:after="0" w:line="240" w:lineRule="auto"/>
        <w:ind w:left="360"/>
        <w:jc w:val="center"/>
        <w:rPr>
          <w:rFonts w:ascii="Times New Roman" w:hAnsi="Times New Roman" w:cs="Times New Roman"/>
          <w:b/>
          <w:u w:val="single"/>
          <w:lang w:val="fr-FR"/>
        </w:rPr>
      </w:pPr>
      <w:r w:rsidRPr="0088718C">
        <w:rPr>
          <w:rFonts w:ascii="Times New Roman" w:hAnsi="Times New Roman" w:cs="Times New Roman"/>
          <w:b/>
          <w:u w:val="single"/>
          <w:lang w:val="fr-FR"/>
        </w:rPr>
        <w:t>ADMINISTRAȚIE</w:t>
      </w:r>
    </w:p>
    <w:p w:rsidR="00A76CC5" w:rsidRPr="000A18FF" w:rsidRDefault="00A76CC5" w:rsidP="00A76CC5">
      <w:pPr>
        <w:spacing w:after="0" w:line="240" w:lineRule="auto"/>
        <w:rPr>
          <w:rFonts w:ascii="Times New Roman" w:hAnsi="Times New Roman" w:cs="Times New Roman"/>
          <w:lang w:val="fr-FR"/>
        </w:rPr>
      </w:pPr>
    </w:p>
    <w:p w:rsidR="00D06AC4" w:rsidRPr="000A18FF" w:rsidRDefault="00C60F9D" w:rsidP="00D06AC4">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Administraţia publică </w:t>
      </w:r>
      <w:r w:rsidR="00025E24" w:rsidRPr="000A18FF">
        <w:rPr>
          <w:rFonts w:ascii="Times New Roman" w:hAnsi="Times New Roman" w:cs="Times New Roman"/>
          <w:lang w:val="fr-FR"/>
        </w:rPr>
        <w:t>a unităților administrativ-teritoriale</w:t>
      </w:r>
      <w:r w:rsidRPr="000A18FF">
        <w:rPr>
          <w:rFonts w:ascii="Times New Roman" w:hAnsi="Times New Roman" w:cs="Times New Roman"/>
          <w:lang w:val="fr-FR"/>
        </w:rPr>
        <w:t xml:space="preserve"> membre ale Polului de creștere Timișoara</w:t>
      </w:r>
      <w:r w:rsidR="00D06AC4" w:rsidRPr="000A18FF">
        <w:rPr>
          <w:rFonts w:ascii="Times New Roman" w:hAnsi="Times New Roman" w:cs="Times New Roman"/>
          <w:lang w:val="fr-FR"/>
        </w:rPr>
        <w:t xml:space="preserve"> se organizează şi funcţionează în temeiul principiilor autonomiei locale, descentralizării serviciilor publice, eligibilităţii autorităţilor administraţiei publice locale, legalităţii şi al consultării cetăţenilor în soluţionarea problemelor locale de interes deosebit. Structura organizatorică a administraţiilor publice locale reprezintă formalizarea şi repartizarea misiunilor şi funcţiilor între diferite subansamble (Direcţii, Departamente, Servicii, Birouri, etc.) definite cu această ocazie, precum şi relaţiile stabilite între subansamblele în cauză. </w:t>
      </w:r>
    </w:p>
    <w:p w:rsidR="00D06AC4" w:rsidRPr="000A18FF" w:rsidRDefault="00D06AC4" w:rsidP="00D06AC4">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lastRenderedPageBreak/>
        <w:t>Primarul, viceprimarul (viceprimarii), secretarul</w:t>
      </w:r>
      <w:r w:rsidR="00C60F9D" w:rsidRPr="000A18FF">
        <w:rPr>
          <w:rFonts w:ascii="Times New Roman" w:hAnsi="Times New Roman" w:cs="Times New Roman"/>
          <w:lang w:val="fr-FR"/>
        </w:rPr>
        <w:t>,</w:t>
      </w:r>
      <w:r w:rsidRPr="000A18FF">
        <w:rPr>
          <w:rFonts w:ascii="Times New Roman" w:hAnsi="Times New Roman" w:cs="Times New Roman"/>
          <w:lang w:val="fr-FR"/>
        </w:rPr>
        <w:t xml:space="preserve"> împreună cu aparatul de speciali</w:t>
      </w:r>
      <w:r w:rsidR="00CD10E8" w:rsidRPr="000A18FF">
        <w:rPr>
          <w:rFonts w:ascii="Times New Roman" w:hAnsi="Times New Roman" w:cs="Times New Roman"/>
          <w:lang w:val="fr-FR"/>
        </w:rPr>
        <w:t>tate al primarului, constituie structura</w:t>
      </w:r>
      <w:r w:rsidRPr="000A18FF">
        <w:rPr>
          <w:rFonts w:ascii="Times New Roman" w:hAnsi="Times New Roman" w:cs="Times New Roman"/>
          <w:lang w:val="fr-FR"/>
        </w:rPr>
        <w:t xml:space="preserve"> func</w:t>
      </w:r>
      <w:r w:rsidR="00CD10E8" w:rsidRPr="000A18FF">
        <w:rPr>
          <w:rFonts w:ascii="Times New Roman" w:hAnsi="Times New Roman" w:cs="Times New Roman"/>
          <w:lang w:val="fr-FR"/>
        </w:rPr>
        <w:t>ţională</w:t>
      </w:r>
      <w:r w:rsidR="00C60F9D" w:rsidRPr="000A18FF">
        <w:rPr>
          <w:rFonts w:ascii="Times New Roman" w:hAnsi="Times New Roman" w:cs="Times New Roman"/>
          <w:lang w:val="fr-FR"/>
        </w:rPr>
        <w:t xml:space="preserve"> a</w:t>
      </w:r>
      <w:r w:rsidRPr="000A18FF">
        <w:rPr>
          <w:rFonts w:ascii="Times New Roman" w:hAnsi="Times New Roman" w:cs="Times New Roman"/>
          <w:lang w:val="fr-FR"/>
        </w:rPr>
        <w:t xml:space="preserve"> </w:t>
      </w:r>
      <w:r w:rsidRPr="000A18FF">
        <w:rPr>
          <w:rFonts w:ascii="Times New Roman" w:hAnsi="Times New Roman" w:cs="Times New Roman"/>
          <w:bCs/>
          <w:i/>
          <w:iCs/>
          <w:lang w:val="fr-FR"/>
        </w:rPr>
        <w:t>Primări</w:t>
      </w:r>
      <w:r w:rsidR="00CD10E8" w:rsidRPr="000A18FF">
        <w:rPr>
          <w:rFonts w:ascii="Times New Roman" w:hAnsi="Times New Roman" w:cs="Times New Roman"/>
          <w:bCs/>
          <w:i/>
          <w:iCs/>
          <w:lang w:val="fr-FR"/>
        </w:rPr>
        <w:t>e</w:t>
      </w:r>
      <w:r w:rsidR="00C60F9D" w:rsidRPr="000A18FF">
        <w:rPr>
          <w:rFonts w:ascii="Times New Roman" w:hAnsi="Times New Roman" w:cs="Times New Roman"/>
          <w:bCs/>
          <w:i/>
          <w:iCs/>
          <w:lang w:val="fr-FR"/>
        </w:rPr>
        <w:t>i</w:t>
      </w:r>
      <w:r w:rsidRPr="000A18FF">
        <w:rPr>
          <w:rFonts w:ascii="Times New Roman" w:hAnsi="Times New Roman" w:cs="Times New Roman"/>
          <w:lang w:val="fr-FR"/>
        </w:rPr>
        <w:t xml:space="preserve">, care duce la îndeplinire hotărârile Consiliului Local şi dispoziţiile primarului, soluţionând problemele curente ale colectivităţii locale. </w:t>
      </w:r>
    </w:p>
    <w:p w:rsidR="00D06AC4" w:rsidRPr="000A18FF" w:rsidRDefault="00CD10E8" w:rsidP="00D06AC4">
      <w:pPr>
        <w:spacing w:after="0" w:line="240" w:lineRule="auto"/>
        <w:ind w:firstLine="720"/>
        <w:jc w:val="both"/>
        <w:rPr>
          <w:rFonts w:ascii="Times New Roman" w:hAnsi="Times New Roman" w:cs="Times New Roman"/>
          <w:lang w:val="fr-FR"/>
        </w:rPr>
      </w:pPr>
      <w:r w:rsidRPr="000A18FF">
        <w:rPr>
          <w:rFonts w:ascii="Times New Roman" w:hAnsi="Times New Roman" w:cs="Times New Roman"/>
          <w:i/>
          <w:caps/>
          <w:lang w:val="fr-FR"/>
        </w:rPr>
        <w:t>Î</w:t>
      </w:r>
      <w:r w:rsidR="00D06AC4" w:rsidRPr="000A18FF">
        <w:rPr>
          <w:rFonts w:ascii="Times New Roman" w:hAnsi="Times New Roman" w:cs="Times New Roman"/>
          <w:i/>
          <w:lang w:val="fr-FR"/>
        </w:rPr>
        <w:t>n municipiul Timişoara</w:t>
      </w:r>
      <w:r w:rsidR="00D06AC4" w:rsidRPr="000A18FF">
        <w:rPr>
          <w:rFonts w:ascii="Times New Roman" w:hAnsi="Times New Roman" w:cs="Times New Roman"/>
          <w:lang w:val="fr-FR"/>
        </w:rPr>
        <w:t xml:space="preserve"> și în comunele membre ale PCT, administraţia publică este organizată şi funcţionează potrivit prevederilor Legii administraţiei publice locale nr. 215/2001 şi în conformitate cu hotărârile Consiliului Local al Municipiului Timişoara și ale consiliilor locale ale comunelor, privind aprobarea organigramei şi numărului de posturi ale aparatului propriu de specialitate.</w:t>
      </w:r>
    </w:p>
    <w:p w:rsidR="00D06AC4" w:rsidRPr="000A18FF" w:rsidRDefault="00D06AC4" w:rsidP="00D06AC4">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Structura organizatorică a Municipilului Timișoara este deosebit de complexă, corespunzătoare dimensiunii orașului și problemelor cu care acesta se confruntă. Organ</w:t>
      </w:r>
      <w:r w:rsidR="00C60F9D" w:rsidRPr="000A18FF">
        <w:rPr>
          <w:rFonts w:ascii="Times New Roman" w:hAnsi="Times New Roman" w:cs="Times New Roman"/>
          <w:lang w:val="fr-FR"/>
        </w:rPr>
        <w:t xml:space="preserve">igrama PMT relevă existența a </w:t>
      </w:r>
      <w:r w:rsidR="00115AB1">
        <w:rPr>
          <w:rFonts w:ascii="Times New Roman" w:hAnsi="Times New Roman" w:cs="Times New Roman"/>
          <w:lang w:val="fr-FR"/>
        </w:rPr>
        <w:t>8</w:t>
      </w:r>
      <w:r w:rsidRPr="000A18FF">
        <w:rPr>
          <w:rFonts w:ascii="Times New Roman" w:hAnsi="Times New Roman" w:cs="Times New Roman"/>
          <w:lang w:val="fr-FR"/>
        </w:rPr>
        <w:t xml:space="preserve"> direcții, pe domenii de activitate sau pe domenii</w:t>
      </w:r>
      <w:r w:rsidR="00691BEA" w:rsidRPr="000A18FF">
        <w:rPr>
          <w:rFonts w:ascii="Times New Roman" w:hAnsi="Times New Roman" w:cs="Times New Roman"/>
          <w:lang w:val="fr-FR"/>
        </w:rPr>
        <w:t xml:space="preserve"> </w:t>
      </w:r>
      <w:r w:rsidRPr="000A18FF">
        <w:rPr>
          <w:rFonts w:ascii="Times New Roman" w:hAnsi="Times New Roman" w:cs="Times New Roman"/>
          <w:lang w:val="fr-FR"/>
        </w:rPr>
        <w:t>transversale, fiecare cu un anumit număr de servicii, birouri și compartimente, acoperind toate tipurile de servicii</w:t>
      </w:r>
      <w:r w:rsidR="00F87E06" w:rsidRPr="000A18FF">
        <w:rPr>
          <w:rFonts w:ascii="Times New Roman" w:hAnsi="Times New Roman" w:cs="Times New Roman"/>
          <w:lang w:val="fr-FR"/>
        </w:rPr>
        <w:t xml:space="preserve"> de gestionare a problemelor urbane.</w:t>
      </w:r>
    </w:p>
    <w:p w:rsidR="00F87E06" w:rsidRPr="000A18FF" w:rsidRDefault="00F87E06" w:rsidP="00D06AC4">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Pe lângă acestea</w:t>
      </w:r>
      <w:r w:rsidR="00691BEA" w:rsidRPr="000A18FF">
        <w:rPr>
          <w:rFonts w:ascii="Times New Roman" w:hAnsi="Times New Roman" w:cs="Times New Roman"/>
          <w:lang w:val="fr-FR"/>
        </w:rPr>
        <w:t>, sub autoritatea p</w:t>
      </w:r>
      <w:r w:rsidRPr="000A18FF">
        <w:rPr>
          <w:rFonts w:ascii="Times New Roman" w:hAnsi="Times New Roman" w:cs="Times New Roman"/>
          <w:lang w:val="fr-FR"/>
        </w:rPr>
        <w:t>rimarului Municipiului Timişoara îşi desfăşoară activitatea şi alte instituţii şi servicii publice cu personalitate juridică</w:t>
      </w:r>
      <w:r w:rsidR="00CD10E8" w:rsidRPr="000A18FF">
        <w:rPr>
          <w:rFonts w:ascii="Times New Roman" w:hAnsi="Times New Roman" w:cs="Times New Roman"/>
          <w:lang w:val="fr-FR"/>
        </w:rPr>
        <w:t>, iar regiile autonome de interes public local lucrează în strânsă legătură cu autoritățile, pentru a rezolva problemele specifice ale comunităților locale.</w:t>
      </w:r>
    </w:p>
    <w:p w:rsidR="00CD10E8" w:rsidRPr="000A18FF" w:rsidRDefault="00CD10E8" w:rsidP="00CD10E8">
      <w:pPr>
        <w:spacing w:after="0" w:line="240" w:lineRule="auto"/>
        <w:ind w:firstLine="720"/>
        <w:jc w:val="both"/>
        <w:rPr>
          <w:rFonts w:ascii="Times New Roman" w:hAnsi="Times New Roman" w:cs="Times New Roman"/>
          <w:bCs/>
          <w:lang w:val="fr-FR"/>
        </w:rPr>
      </w:pPr>
      <w:r w:rsidRPr="000A18FF">
        <w:rPr>
          <w:rFonts w:ascii="Times New Roman" w:hAnsi="Times New Roman" w:cs="Times New Roman"/>
          <w:bCs/>
          <w:lang w:val="fr-FR"/>
        </w:rPr>
        <w:t xml:space="preserve">Structura organizatorică a administraţiei publice </w:t>
      </w:r>
      <w:r w:rsidRPr="000A18FF">
        <w:rPr>
          <w:rFonts w:ascii="Times New Roman" w:hAnsi="Times New Roman" w:cs="Times New Roman"/>
          <w:bCs/>
          <w:i/>
          <w:lang w:val="fr-FR"/>
        </w:rPr>
        <w:t>în comunele din arealul de influenţă</w:t>
      </w:r>
      <w:r w:rsidRPr="000A18FF">
        <w:rPr>
          <w:rFonts w:ascii="Times New Roman" w:hAnsi="Times New Roman" w:cs="Times New Roman"/>
          <w:bCs/>
          <w:lang w:val="fr-FR"/>
        </w:rPr>
        <w:t xml:space="preserve"> nu este atât de complexă, având în vedere numărul mult mai mic al locuitorilor, precum şi anvergura redusă a un</w:t>
      </w:r>
      <w:r w:rsidR="0095360D" w:rsidRPr="000A18FF">
        <w:rPr>
          <w:rFonts w:ascii="Times New Roman" w:hAnsi="Times New Roman" w:cs="Times New Roman"/>
          <w:bCs/>
          <w:lang w:val="fr-FR"/>
        </w:rPr>
        <w:t>or utilităţi. Această dihotomie</w:t>
      </w:r>
      <w:r w:rsidRPr="000A18FF">
        <w:rPr>
          <w:rFonts w:ascii="Times New Roman" w:hAnsi="Times New Roman" w:cs="Times New Roman"/>
          <w:bCs/>
          <w:lang w:val="fr-FR"/>
        </w:rPr>
        <w:t xml:space="preserve"> într</w:t>
      </w:r>
      <w:r w:rsidR="00691BEA" w:rsidRPr="000A18FF">
        <w:rPr>
          <w:rFonts w:ascii="Times New Roman" w:hAnsi="Times New Roman" w:cs="Times New Roman"/>
          <w:bCs/>
          <w:lang w:val="fr-FR"/>
        </w:rPr>
        <w:t>e ap</w:t>
      </w:r>
      <w:r w:rsidRPr="000A18FF">
        <w:rPr>
          <w:rFonts w:ascii="Times New Roman" w:hAnsi="Times New Roman" w:cs="Times New Roman"/>
          <w:bCs/>
          <w:lang w:val="fr-FR"/>
        </w:rPr>
        <w:t>aratul administratiov complex</w:t>
      </w:r>
      <w:r w:rsidR="00691BEA" w:rsidRPr="000A18FF">
        <w:rPr>
          <w:rFonts w:ascii="Times New Roman" w:hAnsi="Times New Roman" w:cs="Times New Roman"/>
          <w:bCs/>
          <w:lang w:val="fr-FR"/>
        </w:rPr>
        <w:t xml:space="preserve"> al PMT și cel mult mai redus al</w:t>
      </w:r>
      <w:r w:rsidRPr="000A18FF">
        <w:rPr>
          <w:rFonts w:ascii="Times New Roman" w:hAnsi="Times New Roman" w:cs="Times New Roman"/>
          <w:bCs/>
          <w:lang w:val="fr-FR"/>
        </w:rPr>
        <w:t xml:space="preserve"> primăriilor comunelor din arealul PCT, firească de altfel, constituie unul din factorii care fac dificilă colaborarea permanentă și eficientă dintre unitățile administrative ale polului.</w:t>
      </w:r>
      <w:r w:rsidR="00691BEA" w:rsidRPr="000A18FF">
        <w:rPr>
          <w:rFonts w:ascii="Times New Roman" w:hAnsi="Times New Roman" w:cs="Times New Roman"/>
          <w:bCs/>
          <w:lang w:val="fr-FR"/>
        </w:rPr>
        <w:t xml:space="preserve"> Resursele umane și competențele specializate de care dispune PMT nu își găsesc corespondentul în cadrul celorlalte primării, în care unei direcții a PMT îi corespunde o persoană la nivelul primăriilor de comună.</w:t>
      </w:r>
    </w:p>
    <w:p w:rsidR="00691BEA" w:rsidRPr="000A18FF" w:rsidRDefault="00691BEA" w:rsidP="00CD10E8">
      <w:pPr>
        <w:spacing w:after="0" w:line="240" w:lineRule="auto"/>
        <w:ind w:firstLine="720"/>
        <w:jc w:val="both"/>
        <w:rPr>
          <w:rFonts w:ascii="Times New Roman" w:hAnsi="Times New Roman" w:cs="Times New Roman"/>
          <w:bCs/>
          <w:lang w:val="fr-FR"/>
        </w:rPr>
      </w:pPr>
      <w:r w:rsidRPr="000A18FF">
        <w:rPr>
          <w:rFonts w:ascii="Times New Roman" w:hAnsi="Times New Roman" w:cs="Times New Roman"/>
          <w:bCs/>
          <w:lang w:val="fr-FR"/>
        </w:rPr>
        <w:t>Pe de altă parte, și în cadrul primăriei Timișoara, complexitatea aparatului administrativ și specializarea acestuia pe anumite domenii de responsabilitate conduc la un deficit de comunicare intrainstituțională, cu consecințe negative asupra eficienței activității.</w:t>
      </w:r>
    </w:p>
    <w:p w:rsidR="00691BEA" w:rsidRPr="000A18FF" w:rsidRDefault="00691BEA" w:rsidP="00CD10E8">
      <w:pPr>
        <w:spacing w:after="0" w:line="240" w:lineRule="auto"/>
        <w:ind w:firstLine="720"/>
        <w:jc w:val="both"/>
        <w:rPr>
          <w:rFonts w:ascii="Times New Roman" w:hAnsi="Times New Roman" w:cs="Times New Roman"/>
          <w:bCs/>
          <w:lang w:val="fr-FR"/>
        </w:rPr>
      </w:pPr>
      <w:r w:rsidRPr="000A18FF">
        <w:rPr>
          <w:rFonts w:ascii="Times New Roman" w:hAnsi="Times New Roman" w:cs="Times New Roman"/>
          <w:bCs/>
          <w:lang w:val="fr-FR"/>
        </w:rPr>
        <w:t>Pentru a evita aceste gripaje, o serie de progrese au fost făcute prin implementarea de soluții administrative verificate, astfel încât relația</w:t>
      </w:r>
      <w:r w:rsidR="009C3E61" w:rsidRPr="000A18FF">
        <w:rPr>
          <w:rFonts w:ascii="Times New Roman" w:hAnsi="Times New Roman" w:cs="Times New Roman"/>
          <w:bCs/>
          <w:lang w:val="fr-FR"/>
        </w:rPr>
        <w:t xml:space="preserve"> PMT</w:t>
      </w:r>
      <w:r w:rsidRPr="000A18FF">
        <w:rPr>
          <w:rFonts w:ascii="Times New Roman" w:hAnsi="Times New Roman" w:cs="Times New Roman"/>
          <w:bCs/>
          <w:lang w:val="fr-FR"/>
        </w:rPr>
        <w:t xml:space="preserve"> cu cetățeanul să fie ameliorată și să crească calitatea serviciilor prestate.</w:t>
      </w:r>
      <w:r w:rsidR="00BC6100" w:rsidRPr="000A18FF">
        <w:rPr>
          <w:rFonts w:ascii="Times New Roman" w:hAnsi="Times New Roman" w:cs="Times New Roman"/>
          <w:bCs/>
          <w:lang w:val="fr-FR"/>
        </w:rPr>
        <w:t xml:space="preserve"> Au fost introduse, astfel, </w:t>
      </w:r>
      <w:r w:rsidR="009C3E61" w:rsidRPr="000A18FF">
        <w:rPr>
          <w:rFonts w:ascii="Times New Roman" w:hAnsi="Times New Roman" w:cs="Times New Roman"/>
          <w:bCs/>
          <w:lang w:val="fr-FR"/>
        </w:rPr>
        <w:t>mai multe sisteme informatice de evidență a populației, de circulație și gestionare a documentelor, precum și de contact permanent cu populația, care au făcut să</w:t>
      </w:r>
      <w:r w:rsidR="0095360D" w:rsidRPr="000A18FF">
        <w:rPr>
          <w:rFonts w:ascii="Times New Roman" w:hAnsi="Times New Roman" w:cs="Times New Roman"/>
          <w:bCs/>
          <w:lang w:val="fr-FR"/>
        </w:rPr>
        <w:t xml:space="preserve"> se reducă/să</w:t>
      </w:r>
      <w:r w:rsidR="009C3E61" w:rsidRPr="000A18FF">
        <w:rPr>
          <w:rFonts w:ascii="Times New Roman" w:hAnsi="Times New Roman" w:cs="Times New Roman"/>
          <w:bCs/>
          <w:lang w:val="fr-FR"/>
        </w:rPr>
        <w:t xml:space="preserve"> dispară cozile la majoritatea ghișeelor, să scadă durata de procesare a solicitărilor populației și să poată fi preluate în timp real reacțiile comunității la deciziile cele mai importante ale primăriei și </w:t>
      </w:r>
      <w:r w:rsidR="0095360D" w:rsidRPr="000A18FF">
        <w:rPr>
          <w:rFonts w:ascii="Times New Roman" w:hAnsi="Times New Roman" w:cs="Times New Roman"/>
          <w:bCs/>
          <w:lang w:val="fr-FR"/>
        </w:rPr>
        <w:t xml:space="preserve">ale </w:t>
      </w:r>
      <w:r w:rsidR="009C3E61" w:rsidRPr="000A18FF">
        <w:rPr>
          <w:rFonts w:ascii="Times New Roman" w:hAnsi="Times New Roman" w:cs="Times New Roman"/>
          <w:bCs/>
          <w:lang w:val="fr-FR"/>
        </w:rPr>
        <w:t>consiliului local.</w:t>
      </w:r>
      <w:r w:rsidR="00162BD3" w:rsidRPr="000A18FF">
        <w:rPr>
          <w:rFonts w:ascii="Times New Roman" w:hAnsi="Times New Roman" w:cs="Times New Roman"/>
          <w:bCs/>
          <w:lang w:val="fr-FR"/>
        </w:rPr>
        <w:t xml:space="preserve"> Dintre acestea, amintim diversele platforme de informare a cetățenilor</w:t>
      </w:r>
      <w:r w:rsidR="0088718C">
        <w:rPr>
          <w:rFonts w:ascii="Times New Roman" w:hAnsi="Times New Roman" w:cs="Times New Roman"/>
          <w:bCs/>
          <w:lang w:val="fr-FR"/>
        </w:rPr>
        <w:t xml:space="preserve"> și de gestiune a documentelor</w:t>
      </w:r>
      <w:r w:rsidR="00162BD3" w:rsidRPr="000A18FF">
        <w:rPr>
          <w:rFonts w:ascii="Times New Roman" w:hAnsi="Times New Roman" w:cs="Times New Roman"/>
          <w:bCs/>
          <w:lang w:val="fr-FR"/>
        </w:rPr>
        <w:t xml:space="preserve"> (Kiosk.connect, Platforma SEED, sistemul SNEP de plată a taxelor și impozitelor, portalul web al PMT – Portal.connect, </w:t>
      </w:r>
      <w:r w:rsidR="00350E3A" w:rsidRPr="000A18FF">
        <w:rPr>
          <w:rFonts w:ascii="Times New Roman" w:hAnsi="Times New Roman" w:cs="Times New Roman"/>
          <w:bCs/>
          <w:lang w:val="fr-FR"/>
        </w:rPr>
        <w:t>sistemul de management al documen</w:t>
      </w:r>
      <w:r w:rsidR="006677B0">
        <w:rPr>
          <w:rFonts w:ascii="Times New Roman" w:hAnsi="Times New Roman" w:cs="Times New Roman"/>
          <w:bCs/>
          <w:lang w:val="fr-FR"/>
        </w:rPr>
        <w:t>telor – Dox.connect,</w:t>
      </w:r>
      <w:r w:rsidR="00350E3A" w:rsidRPr="000A18FF">
        <w:rPr>
          <w:rFonts w:ascii="Times New Roman" w:hAnsi="Times New Roman" w:cs="Times New Roman"/>
          <w:bCs/>
          <w:lang w:val="fr-FR"/>
        </w:rPr>
        <w:t xml:space="preserve"> transmiterea on-line a ședințelor Consiliului local al municipiului Timișoara etc.</w:t>
      </w:r>
    </w:p>
    <w:p w:rsidR="00350E3A" w:rsidRPr="000A18FF" w:rsidRDefault="00350E3A" w:rsidP="00CD10E8">
      <w:pPr>
        <w:spacing w:after="0" w:line="240" w:lineRule="auto"/>
        <w:ind w:firstLine="720"/>
        <w:jc w:val="both"/>
        <w:rPr>
          <w:rFonts w:ascii="Times New Roman" w:hAnsi="Times New Roman" w:cs="Times New Roman"/>
          <w:bCs/>
          <w:lang w:val="fr-FR"/>
        </w:rPr>
      </w:pPr>
      <w:r w:rsidRPr="000A18FF">
        <w:rPr>
          <w:rFonts w:ascii="Times New Roman" w:hAnsi="Times New Roman" w:cs="Times New Roman"/>
          <w:bCs/>
          <w:lang w:val="fr-FR"/>
        </w:rPr>
        <w:t>Și comun</w:t>
      </w:r>
      <w:r w:rsidR="00EB3E06" w:rsidRPr="000A18FF">
        <w:rPr>
          <w:rFonts w:ascii="Times New Roman" w:hAnsi="Times New Roman" w:cs="Times New Roman"/>
          <w:bCs/>
          <w:lang w:val="fr-FR"/>
        </w:rPr>
        <w:t>e</w:t>
      </w:r>
      <w:r w:rsidRPr="000A18FF">
        <w:rPr>
          <w:rFonts w:ascii="Times New Roman" w:hAnsi="Times New Roman" w:cs="Times New Roman"/>
          <w:bCs/>
          <w:lang w:val="fr-FR"/>
        </w:rPr>
        <w:t>le cele mai prospere din arealul polului au făcut progrese remarcabile în acest sens (Giroc, Dumbrăvița</w:t>
      </w:r>
      <w:r w:rsidR="00EB3E06" w:rsidRPr="000A18FF">
        <w:rPr>
          <w:rFonts w:ascii="Times New Roman" w:hAnsi="Times New Roman" w:cs="Times New Roman"/>
          <w:bCs/>
          <w:lang w:val="fr-FR"/>
        </w:rPr>
        <w:t>, Ghiroda etc.), în timp ce primăriile comunelor mai mici lucrează încă preponderent în sistem clasic, cu personal redus, inclusiv ca urmarea a dificultăților de recrutare și stabilizare a funcționarilor publici. De altfel, aceasta este o problemă cu care se confruntă toate primăriile,</w:t>
      </w:r>
      <w:r w:rsidR="0095360D" w:rsidRPr="000A18FF">
        <w:rPr>
          <w:rFonts w:ascii="Times New Roman" w:hAnsi="Times New Roman" w:cs="Times New Roman"/>
          <w:bCs/>
          <w:lang w:val="fr-FR"/>
        </w:rPr>
        <w:t xml:space="preserve"> inclusiv PMT,</w:t>
      </w:r>
      <w:r w:rsidR="00EB3E06" w:rsidRPr="000A18FF">
        <w:rPr>
          <w:rFonts w:ascii="Times New Roman" w:hAnsi="Times New Roman" w:cs="Times New Roman"/>
          <w:bCs/>
          <w:lang w:val="fr-FR"/>
        </w:rPr>
        <w:t xml:space="preserve"> datorită atractivității reduse a</w:t>
      </w:r>
      <w:r w:rsidR="00E21D30" w:rsidRPr="000A18FF">
        <w:rPr>
          <w:rFonts w:ascii="Times New Roman" w:hAnsi="Times New Roman" w:cs="Times New Roman"/>
          <w:bCs/>
          <w:lang w:val="fr-FR"/>
        </w:rPr>
        <w:t xml:space="preserve"> posturilor</w:t>
      </w:r>
      <w:r w:rsidR="00EB3E06" w:rsidRPr="000A18FF">
        <w:rPr>
          <w:rFonts w:ascii="Times New Roman" w:hAnsi="Times New Roman" w:cs="Times New Roman"/>
          <w:bCs/>
          <w:lang w:val="fr-FR"/>
        </w:rPr>
        <w:t xml:space="preserve"> (salarii mici, perspective limitate de carieră profesională).</w:t>
      </w:r>
    </w:p>
    <w:p w:rsidR="00307F9F" w:rsidRPr="000A18FF" w:rsidRDefault="00E21D30" w:rsidP="00E21D30">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t xml:space="preserve">Forţa economică a unui centru urban și a ariei sale de coordonare, în cazul nostru Polul de creștere Timișoara, este ilustrată și de bugetele administrate de unităţile administrativ-teritoriale componente. Acestea sunt alimentate din taxele și impozitele locale, care constituie partea cea mai însemnată a </w:t>
      </w:r>
      <w:r w:rsidRPr="000A18FF">
        <w:rPr>
          <w:rFonts w:ascii="Times New Roman" w:hAnsi="Times New Roman" w:cs="Times New Roman"/>
          <w:i/>
          <w:lang w:val="fr-FR"/>
        </w:rPr>
        <w:t>bugetului local</w:t>
      </w:r>
      <w:r w:rsidRPr="000A18FF">
        <w:rPr>
          <w:rFonts w:ascii="Times New Roman" w:hAnsi="Times New Roman" w:cs="Times New Roman"/>
          <w:lang w:val="fr-FR"/>
        </w:rPr>
        <w:t xml:space="preserve">, reflectând forţa agenţilor economici implantaţi în fiecare localitate, la care se adaugă prelevările de la bugetul de stat și fondurile europene atrase. Bugetul local este completat de </w:t>
      </w:r>
      <w:r w:rsidRPr="000A18FF">
        <w:rPr>
          <w:rFonts w:ascii="Times New Roman" w:hAnsi="Times New Roman" w:cs="Times New Roman"/>
          <w:i/>
          <w:lang w:val="fr-FR"/>
        </w:rPr>
        <w:t>bugetul împrumuturilor interne și externe</w:t>
      </w:r>
      <w:r w:rsidRPr="000A18FF">
        <w:rPr>
          <w:rFonts w:ascii="Times New Roman" w:hAnsi="Times New Roman" w:cs="Times New Roman"/>
          <w:lang w:val="fr-FR"/>
        </w:rPr>
        <w:t xml:space="preserve">, precum și de </w:t>
      </w:r>
      <w:r w:rsidRPr="000A18FF">
        <w:rPr>
          <w:rFonts w:ascii="Times New Roman" w:hAnsi="Times New Roman" w:cs="Times New Roman"/>
          <w:i/>
          <w:lang w:val="fr-FR"/>
        </w:rPr>
        <w:t>bugetul instituţiilor publice finanţate din venituri proprii</w:t>
      </w:r>
      <w:r w:rsidRPr="000A18FF">
        <w:rPr>
          <w:rFonts w:ascii="Times New Roman" w:hAnsi="Times New Roman" w:cs="Times New Roman"/>
          <w:lang w:val="fr-FR"/>
        </w:rPr>
        <w:t xml:space="preserve"> (fără subvenţii din bugetul local), împreună alcătuind </w:t>
      </w:r>
      <w:r w:rsidRPr="000A18FF">
        <w:rPr>
          <w:rFonts w:ascii="Times New Roman" w:hAnsi="Times New Roman" w:cs="Times New Roman"/>
          <w:b/>
          <w:i/>
          <w:lang w:val="fr-FR"/>
        </w:rPr>
        <w:t>bugetul consolidat</w:t>
      </w:r>
      <w:r w:rsidRPr="000A18FF">
        <w:rPr>
          <w:rFonts w:ascii="Times New Roman" w:hAnsi="Times New Roman" w:cs="Times New Roman"/>
          <w:lang w:val="fr-FR"/>
        </w:rPr>
        <w:t xml:space="preserve"> al unităţii administrativ-teritoriale.</w:t>
      </w:r>
      <w:r w:rsidR="0095360D" w:rsidRPr="000A18FF">
        <w:rPr>
          <w:rFonts w:ascii="Times New Roman" w:hAnsi="Times New Roman" w:cs="Times New Roman"/>
          <w:lang w:val="fr-FR"/>
        </w:rPr>
        <w:t xml:space="preserve"> </w:t>
      </w:r>
    </w:p>
    <w:p w:rsidR="00E21D30" w:rsidRPr="000A18FF" w:rsidRDefault="0095360D" w:rsidP="00E21D30">
      <w:pPr>
        <w:spacing w:after="0" w:line="240" w:lineRule="auto"/>
        <w:ind w:firstLine="720"/>
        <w:jc w:val="both"/>
        <w:rPr>
          <w:rFonts w:ascii="Times New Roman" w:hAnsi="Times New Roman" w:cs="Times New Roman"/>
          <w:lang w:val="fr-FR"/>
        </w:rPr>
      </w:pPr>
      <w:r w:rsidRPr="000A18FF">
        <w:rPr>
          <w:rFonts w:ascii="Times New Roman" w:hAnsi="Times New Roman" w:cs="Times New Roman"/>
          <w:lang w:val="fr-FR"/>
        </w:rPr>
        <w:lastRenderedPageBreak/>
        <w:t xml:space="preserve">Din acest punct de vedere, Polul de creștere Timișoara (la concurență cu P.C. Cluj-Napoca) se constituie în a doua concentrare națională de resurse bugetare, după cea a Capitalei României și a ariei sale de influență (în anul 2013, bugetele unităților administrativ-teritoriale ale PCT însumau 1.185 mil. lei, din care </w:t>
      </w:r>
      <w:r w:rsidR="00307F9F" w:rsidRPr="000A18FF">
        <w:rPr>
          <w:rFonts w:ascii="Times New Roman" w:hAnsi="Times New Roman" w:cs="Times New Roman"/>
          <w:lang w:val="fr-FR"/>
        </w:rPr>
        <w:t>Primăria Timișoara contribuia cu 87,6%)</w:t>
      </w:r>
      <w:r w:rsidRPr="000A18FF">
        <w:rPr>
          <w:rFonts w:ascii="Times New Roman" w:hAnsi="Times New Roman" w:cs="Times New Roman"/>
          <w:lang w:val="fr-FR"/>
        </w:rPr>
        <w:t>.</w:t>
      </w:r>
      <w:r w:rsidR="00307F9F" w:rsidRPr="000A18FF">
        <w:rPr>
          <w:rFonts w:ascii="Times New Roman" w:hAnsi="Times New Roman" w:cs="Times New Roman"/>
          <w:lang w:val="fr-FR"/>
        </w:rPr>
        <w:t xml:space="preserve"> Printr-o gestionare eficientă, responsabilă și inteligentă, aceste fonduri vor permite implementarea unui număr mare de proiecte de dezvoltare, inclusiv asigurarea finanțării complementare pentru atragerea de fonduri europene. Pot fi, astfel, obținute rezultate remarcabile în dezvoltarea economică, infrastructurală, urbanistică și socio-culturală a PCT, pot fi îndeplinite obiectivele de etapă privind conservarea capitalului de mediu, creșterea eficienței energetice</w:t>
      </w:r>
      <w:r w:rsidR="00025E24" w:rsidRPr="000A18FF">
        <w:rPr>
          <w:rFonts w:ascii="Times New Roman" w:hAnsi="Times New Roman" w:cs="Times New Roman"/>
          <w:lang w:val="fr-FR"/>
        </w:rPr>
        <w:t xml:space="preserve">, </w:t>
      </w:r>
      <w:r w:rsidR="00307F9F" w:rsidRPr="000A18FF">
        <w:rPr>
          <w:rFonts w:ascii="Times New Roman" w:hAnsi="Times New Roman" w:cs="Times New Roman"/>
          <w:lang w:val="fr-FR"/>
        </w:rPr>
        <w:t>respectiv optimizarea amenajării teritoriului și rezo</w:t>
      </w:r>
      <w:r w:rsidR="00CF7F34" w:rsidRPr="000A18FF">
        <w:rPr>
          <w:rFonts w:ascii="Times New Roman" w:hAnsi="Times New Roman" w:cs="Times New Roman"/>
          <w:lang w:val="fr-FR"/>
        </w:rPr>
        <w:t>lvarea unora din probelmele cele</w:t>
      </w:r>
      <w:r w:rsidR="00307F9F" w:rsidRPr="000A18FF">
        <w:rPr>
          <w:rFonts w:ascii="Times New Roman" w:hAnsi="Times New Roman" w:cs="Times New Roman"/>
          <w:lang w:val="fr-FR"/>
        </w:rPr>
        <w:t xml:space="preserve"> mai acute ale</w:t>
      </w:r>
      <w:r w:rsidR="00025E24" w:rsidRPr="000A18FF">
        <w:rPr>
          <w:rFonts w:ascii="Times New Roman" w:hAnsi="Times New Roman" w:cs="Times New Roman"/>
          <w:lang w:val="fr-FR"/>
        </w:rPr>
        <w:t xml:space="preserve"> circulației din interiorul PCT</w:t>
      </w:r>
      <w:r w:rsidR="00596DAC" w:rsidRPr="000A18FF">
        <w:rPr>
          <w:rFonts w:ascii="Times New Roman" w:hAnsi="Times New Roman" w:cs="Times New Roman"/>
          <w:lang w:val="fr-FR"/>
        </w:rPr>
        <w:t xml:space="preserve"> și a sinapselor de legătură cu exteriorul</w:t>
      </w:r>
      <w:r w:rsidR="00025E24" w:rsidRPr="000A18FF">
        <w:rPr>
          <w:rFonts w:ascii="Times New Roman" w:hAnsi="Times New Roman" w:cs="Times New Roman"/>
          <w:lang w:val="fr-FR"/>
        </w:rPr>
        <w:t>.</w:t>
      </w:r>
    </w:p>
    <w:p w:rsidR="00E21D30" w:rsidRPr="000A18FF" w:rsidRDefault="00E21D30" w:rsidP="00CD10E8">
      <w:pPr>
        <w:spacing w:after="0" w:line="240" w:lineRule="auto"/>
        <w:ind w:firstLine="720"/>
        <w:jc w:val="both"/>
        <w:rPr>
          <w:rFonts w:ascii="Times New Roman" w:hAnsi="Times New Roman" w:cs="Times New Roman"/>
          <w:bCs/>
          <w:lang w:val="fr-FR"/>
        </w:rPr>
      </w:pPr>
    </w:p>
    <w:p w:rsidR="00CD10E8" w:rsidRPr="000A18FF" w:rsidRDefault="00CD10E8" w:rsidP="00D06AC4">
      <w:pPr>
        <w:spacing w:after="0" w:line="240" w:lineRule="auto"/>
        <w:ind w:firstLine="720"/>
        <w:jc w:val="both"/>
        <w:rPr>
          <w:rFonts w:ascii="Times New Roman" w:hAnsi="Times New Roman" w:cs="Times New Roman"/>
          <w:lang w:val="fr-FR"/>
        </w:rPr>
      </w:pPr>
    </w:p>
    <w:p w:rsidR="00A76CC5" w:rsidRPr="000A18FF" w:rsidRDefault="00A76CC5" w:rsidP="00A76CC5">
      <w:pPr>
        <w:spacing w:after="0" w:line="240" w:lineRule="auto"/>
        <w:rPr>
          <w:rFonts w:ascii="Times New Roman" w:hAnsi="Times New Roman" w:cs="Times New Roman"/>
          <w:lang w:val="fr-FR"/>
        </w:rPr>
      </w:pPr>
    </w:p>
    <w:sectPr w:rsidR="00A76CC5" w:rsidRPr="000A18FF" w:rsidSect="003D768E">
      <w:headerReference w:type="default" r:id="rId7"/>
      <w:footerReference w:type="default" r:id="rId8"/>
      <w:pgSz w:w="12240" w:h="15840"/>
      <w:pgMar w:top="1417" w:right="1417" w:bottom="1417" w:left="1417" w:header="708" w:footer="198" w:gutter="0"/>
      <w:pgNumType w:start="2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044" w:rsidRDefault="00FF4044" w:rsidP="0077205E">
      <w:pPr>
        <w:spacing w:after="0" w:line="240" w:lineRule="auto"/>
      </w:pPr>
      <w:r>
        <w:separator/>
      </w:r>
    </w:p>
  </w:endnote>
  <w:endnote w:type="continuationSeparator" w:id="1">
    <w:p w:rsidR="00FF4044" w:rsidRDefault="00FF4044" w:rsidP="00772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2EA" w:rsidRDefault="006112EA">
    <w:pPr>
      <w:pStyle w:val="Footer"/>
    </w:pPr>
  </w:p>
  <w:tbl>
    <w:tblPr>
      <w:tblW w:w="9950" w:type="dxa"/>
      <w:tblInd w:w="-115" w:type="dxa"/>
      <w:tblLayout w:type="fixed"/>
      <w:tblCellMar>
        <w:top w:w="72" w:type="dxa"/>
        <w:left w:w="115" w:type="dxa"/>
        <w:bottom w:w="72" w:type="dxa"/>
        <w:right w:w="115" w:type="dxa"/>
      </w:tblCellMar>
      <w:tblLook w:val="0000"/>
    </w:tblPr>
    <w:tblGrid>
      <w:gridCol w:w="9140"/>
      <w:gridCol w:w="810"/>
    </w:tblGrid>
    <w:tr w:rsidR="006112EA" w:rsidTr="00DD64FF">
      <w:trPr>
        <w:trHeight w:val="1085"/>
      </w:trPr>
      <w:tc>
        <w:tcPr>
          <w:tcW w:w="9140" w:type="dxa"/>
          <w:tcBorders>
            <w:top w:val="single" w:sz="4" w:space="0" w:color="000000"/>
          </w:tcBorders>
        </w:tcPr>
        <w:p w:rsidR="006112EA" w:rsidRPr="00276B18" w:rsidRDefault="006112EA" w:rsidP="00DD64FF">
          <w:pPr>
            <w:pStyle w:val="normal0"/>
            <w:spacing w:before="60" w:after="60"/>
            <w:jc w:val="right"/>
            <w:rPr>
              <w:lang w:val="fr-FR"/>
            </w:rPr>
          </w:pPr>
          <w:r w:rsidRPr="00276B18">
            <w:rPr>
              <w:lang w:val="fr-FR"/>
            </w:rPr>
            <w:t xml:space="preserve">Întocmit: </w:t>
          </w:r>
        </w:p>
        <w:p w:rsidR="006112EA" w:rsidRPr="00276B18" w:rsidRDefault="006112EA" w:rsidP="00DD64FF">
          <w:pPr>
            <w:pStyle w:val="normal0"/>
            <w:spacing w:before="60" w:after="40"/>
            <w:jc w:val="right"/>
            <w:rPr>
              <w:lang w:val="fr-FR"/>
            </w:rPr>
          </w:pPr>
          <w:r w:rsidRPr="00276B18">
            <w:rPr>
              <w:lang w:val="fr-FR"/>
            </w:rPr>
            <w:t xml:space="preserve">Primăria Municipiului Timişoara, Direcția Dezvoltare ; </w:t>
          </w:r>
        </w:p>
        <w:p w:rsidR="006112EA" w:rsidRPr="00276B18" w:rsidRDefault="006112EA" w:rsidP="00DD64FF">
          <w:pPr>
            <w:pStyle w:val="normal0"/>
            <w:jc w:val="right"/>
            <w:rPr>
              <w:lang w:val="fr-FR"/>
            </w:rPr>
          </w:pPr>
          <w:r w:rsidRPr="00276B18">
            <w:rPr>
              <w:lang w:val="fr-FR"/>
            </w:rPr>
            <w:t>Universitatea de Vest din Timișo</w:t>
          </w:r>
          <w:r>
            <w:rPr>
              <w:lang w:val="fr-FR"/>
            </w:rPr>
            <w:t xml:space="preserve">ara, Departamentul de Geografie – </w:t>
          </w:r>
          <w:r w:rsidRPr="00276B18">
            <w:rPr>
              <w:lang w:val="fr-FR"/>
            </w:rPr>
            <w:t xml:space="preserve">CDR-START </w:t>
          </w:r>
        </w:p>
      </w:tc>
      <w:tc>
        <w:tcPr>
          <w:tcW w:w="810" w:type="dxa"/>
          <w:tcBorders>
            <w:top w:val="single" w:sz="4" w:space="0" w:color="C0504D"/>
          </w:tcBorders>
          <w:shd w:val="clear" w:color="auto" w:fill="943634"/>
        </w:tcPr>
        <w:p w:rsidR="006112EA" w:rsidRDefault="00FC6A01" w:rsidP="00DD64FF">
          <w:pPr>
            <w:pStyle w:val="normal0"/>
            <w:spacing w:after="720"/>
          </w:pPr>
          <w:r>
            <w:fldChar w:fldCharType="begin"/>
          </w:r>
          <w:r w:rsidR="006112EA">
            <w:instrText>PAGE</w:instrText>
          </w:r>
          <w:r>
            <w:fldChar w:fldCharType="separate"/>
          </w:r>
          <w:r w:rsidR="00EF609F">
            <w:rPr>
              <w:noProof/>
            </w:rPr>
            <w:t>225</w:t>
          </w:r>
          <w:r>
            <w:fldChar w:fldCharType="end"/>
          </w:r>
        </w:p>
      </w:tc>
    </w:tr>
  </w:tbl>
  <w:p w:rsidR="006112EA" w:rsidRDefault="006112EA">
    <w:pPr>
      <w:pStyle w:val="Footer"/>
    </w:pPr>
  </w:p>
  <w:p w:rsidR="006112EA" w:rsidRDefault="00611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044" w:rsidRDefault="00FF4044" w:rsidP="0077205E">
      <w:pPr>
        <w:spacing w:after="0" w:line="240" w:lineRule="auto"/>
      </w:pPr>
      <w:r>
        <w:separator/>
      </w:r>
    </w:p>
  </w:footnote>
  <w:footnote w:type="continuationSeparator" w:id="1">
    <w:p w:rsidR="00FF4044" w:rsidRDefault="00FF4044" w:rsidP="007720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05E" w:rsidRPr="00C729F4" w:rsidRDefault="0077205E" w:rsidP="0077205E">
    <w:pPr>
      <w:pStyle w:val="normal0"/>
      <w:jc w:val="center"/>
    </w:pPr>
    <w:r w:rsidRPr="00C729F4">
      <w:rPr>
        <w:sz w:val="22"/>
        <w:szCs w:val="22"/>
      </w:rPr>
      <w:t>Strategia Integrată de Dezvoltare</w:t>
    </w:r>
    <w:r w:rsidR="007D7612" w:rsidRPr="00C729F4">
      <w:rPr>
        <w:sz w:val="22"/>
        <w:szCs w:val="22"/>
      </w:rPr>
      <w:t xml:space="preserve"> Urbană</w:t>
    </w:r>
    <w:r w:rsidRPr="00C729F4">
      <w:rPr>
        <w:sz w:val="22"/>
        <w:szCs w:val="22"/>
      </w:rPr>
      <w:t xml:space="preserve"> 2015-2020</w:t>
    </w:r>
  </w:p>
  <w:p w:rsidR="0077205E" w:rsidRPr="00C729F4" w:rsidRDefault="0077205E" w:rsidP="0077205E">
    <w:pPr>
      <w:pStyle w:val="Header"/>
      <w:jc w:val="center"/>
      <w:rPr>
        <w:rFonts w:ascii="Times New Roman" w:hAnsi="Times New Roman" w:cs="Times New Roman"/>
      </w:rPr>
    </w:pPr>
    <w:r w:rsidRPr="00C729F4">
      <w:rPr>
        <w:rFonts w:ascii="Times New Roman" w:hAnsi="Times New Roman" w:cs="Times New Roman"/>
      </w:rPr>
      <w:t>Polul de Creștere Timișoara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A326E"/>
    <w:multiLevelType w:val="hybridMultilevel"/>
    <w:tmpl w:val="47D642C2"/>
    <w:lvl w:ilvl="0" w:tplc="ED96457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DF3B4A"/>
    <w:multiLevelType w:val="hybridMultilevel"/>
    <w:tmpl w:val="859AEA5A"/>
    <w:lvl w:ilvl="0" w:tplc="A312765E">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6A0A4A4E"/>
    <w:multiLevelType w:val="hybridMultilevel"/>
    <w:tmpl w:val="B806496C"/>
    <w:lvl w:ilvl="0" w:tplc="31F4A92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5F226E6"/>
    <w:multiLevelType w:val="hybridMultilevel"/>
    <w:tmpl w:val="A8D6B6F4"/>
    <w:lvl w:ilvl="0" w:tplc="6414DFA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1F3CC3"/>
    <w:multiLevelType w:val="multilevel"/>
    <w:tmpl w:val="B93A964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useFELayout/>
  </w:compat>
  <w:rsids>
    <w:rsidRoot w:val="00F064AE"/>
    <w:rsid w:val="00025E24"/>
    <w:rsid w:val="00041016"/>
    <w:rsid w:val="00051E8B"/>
    <w:rsid w:val="000539E6"/>
    <w:rsid w:val="00063285"/>
    <w:rsid w:val="000A18FF"/>
    <w:rsid w:val="000D111F"/>
    <w:rsid w:val="00115AB1"/>
    <w:rsid w:val="00151A65"/>
    <w:rsid w:val="00162BD3"/>
    <w:rsid w:val="001F6103"/>
    <w:rsid w:val="0025013A"/>
    <w:rsid w:val="00262B24"/>
    <w:rsid w:val="002E0FE9"/>
    <w:rsid w:val="002E1274"/>
    <w:rsid w:val="00307F9F"/>
    <w:rsid w:val="003324D0"/>
    <w:rsid w:val="003418A2"/>
    <w:rsid w:val="00350E3A"/>
    <w:rsid w:val="0038763A"/>
    <w:rsid w:val="00391EBE"/>
    <w:rsid w:val="003D768E"/>
    <w:rsid w:val="003F6119"/>
    <w:rsid w:val="0041427F"/>
    <w:rsid w:val="0042438B"/>
    <w:rsid w:val="0049694B"/>
    <w:rsid w:val="004D69E6"/>
    <w:rsid w:val="00536C1C"/>
    <w:rsid w:val="005450E5"/>
    <w:rsid w:val="00562681"/>
    <w:rsid w:val="00596DAC"/>
    <w:rsid w:val="005C2CA9"/>
    <w:rsid w:val="005F6259"/>
    <w:rsid w:val="006112EA"/>
    <w:rsid w:val="006257CA"/>
    <w:rsid w:val="006677B0"/>
    <w:rsid w:val="006862AA"/>
    <w:rsid w:val="00691BEA"/>
    <w:rsid w:val="006F589B"/>
    <w:rsid w:val="00711483"/>
    <w:rsid w:val="007532BA"/>
    <w:rsid w:val="0077205E"/>
    <w:rsid w:val="007D7612"/>
    <w:rsid w:val="0080541E"/>
    <w:rsid w:val="00820403"/>
    <w:rsid w:val="00837A4D"/>
    <w:rsid w:val="00846205"/>
    <w:rsid w:val="0088718C"/>
    <w:rsid w:val="0095360D"/>
    <w:rsid w:val="00964F2B"/>
    <w:rsid w:val="00993BDC"/>
    <w:rsid w:val="009C3E61"/>
    <w:rsid w:val="00A76CC5"/>
    <w:rsid w:val="00AB76CF"/>
    <w:rsid w:val="00B179A1"/>
    <w:rsid w:val="00B21F20"/>
    <w:rsid w:val="00B522DC"/>
    <w:rsid w:val="00B83D3C"/>
    <w:rsid w:val="00B975C6"/>
    <w:rsid w:val="00BC38E6"/>
    <w:rsid w:val="00BC6100"/>
    <w:rsid w:val="00C60F9D"/>
    <w:rsid w:val="00C729F4"/>
    <w:rsid w:val="00C942EB"/>
    <w:rsid w:val="00CC1C1F"/>
    <w:rsid w:val="00CD10E8"/>
    <w:rsid w:val="00CD5131"/>
    <w:rsid w:val="00CD784B"/>
    <w:rsid w:val="00CF7F34"/>
    <w:rsid w:val="00D01226"/>
    <w:rsid w:val="00D06AC4"/>
    <w:rsid w:val="00D448BF"/>
    <w:rsid w:val="00D760A9"/>
    <w:rsid w:val="00D7648B"/>
    <w:rsid w:val="00D81CE0"/>
    <w:rsid w:val="00DA7E19"/>
    <w:rsid w:val="00DE19E2"/>
    <w:rsid w:val="00E21D30"/>
    <w:rsid w:val="00E4277E"/>
    <w:rsid w:val="00E917F7"/>
    <w:rsid w:val="00E95315"/>
    <w:rsid w:val="00EB3E06"/>
    <w:rsid w:val="00EF609F"/>
    <w:rsid w:val="00F064AE"/>
    <w:rsid w:val="00F3192F"/>
    <w:rsid w:val="00F31C37"/>
    <w:rsid w:val="00F45E22"/>
    <w:rsid w:val="00F632D7"/>
    <w:rsid w:val="00F850E2"/>
    <w:rsid w:val="00F87E06"/>
    <w:rsid w:val="00FC6A01"/>
    <w:rsid w:val="00FF4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acterCaracter6">
    <w:name w:val="Caracter Caracter6"/>
    <w:basedOn w:val="DefaultParagraphFont"/>
    <w:rsid w:val="00F064AE"/>
    <w:rPr>
      <w:b/>
      <w:bCs/>
      <w:sz w:val="28"/>
      <w:szCs w:val="28"/>
      <w:lang w:val="en-US" w:eastAsia="ar-SA" w:bidi="ar-SA"/>
    </w:rPr>
  </w:style>
  <w:style w:type="character" w:customStyle="1" w:styleId="arial12negru1">
    <w:name w:val="arial12negru1"/>
    <w:basedOn w:val="DefaultParagraphFont"/>
    <w:rsid w:val="00F064AE"/>
    <w:rPr>
      <w:rFonts w:ascii="Arial" w:hAnsi="Arial" w:cs="Arial"/>
      <w:b w:val="0"/>
      <w:bCs w:val="0"/>
      <w:strike w:val="0"/>
      <w:dstrike w:val="0"/>
      <w:color w:val="000000"/>
      <w:sz w:val="18"/>
      <w:szCs w:val="18"/>
      <w:u w:val="none"/>
    </w:rPr>
  </w:style>
  <w:style w:type="paragraph" w:styleId="ListParagraph">
    <w:name w:val="List Paragraph"/>
    <w:basedOn w:val="Normal"/>
    <w:uiPriority w:val="34"/>
    <w:qFormat/>
    <w:rsid w:val="00041016"/>
    <w:pPr>
      <w:ind w:left="720"/>
      <w:contextualSpacing/>
    </w:pPr>
  </w:style>
  <w:style w:type="paragraph" w:styleId="BodyTextIndent">
    <w:name w:val="Body Text Indent"/>
    <w:basedOn w:val="Normal"/>
    <w:link w:val="BodyTextIndentChar"/>
    <w:uiPriority w:val="99"/>
    <w:unhideWhenUsed/>
    <w:rsid w:val="0038763A"/>
    <w:pPr>
      <w:suppressAutoHyphens/>
      <w:spacing w:after="120" w:line="240" w:lineRule="auto"/>
      <w:ind w:left="360"/>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38763A"/>
    <w:rPr>
      <w:rFonts w:ascii="Times New Roman" w:eastAsia="Times New Roman" w:hAnsi="Times New Roman" w:cs="Times New Roman"/>
      <w:sz w:val="24"/>
      <w:szCs w:val="24"/>
      <w:lang w:eastAsia="ar-SA"/>
    </w:rPr>
  </w:style>
  <w:style w:type="paragraph" w:customStyle="1" w:styleId="Corptext31">
    <w:name w:val="Corp text 31"/>
    <w:basedOn w:val="Normal"/>
    <w:rsid w:val="0038763A"/>
    <w:pPr>
      <w:suppressAutoHyphens/>
      <w:spacing w:after="0" w:line="240" w:lineRule="auto"/>
      <w:jc w:val="both"/>
    </w:pPr>
    <w:rPr>
      <w:rFonts w:ascii="Times New Roman" w:eastAsia="Times New Roman" w:hAnsi="Times New Roman" w:cs="Times New Roman"/>
      <w:szCs w:val="20"/>
      <w:lang w:val="ro-RO" w:eastAsia="ar-SA"/>
    </w:rPr>
  </w:style>
  <w:style w:type="character" w:styleId="CommentReference">
    <w:name w:val="annotation reference"/>
    <w:basedOn w:val="DefaultParagraphFont"/>
    <w:uiPriority w:val="99"/>
    <w:semiHidden/>
    <w:unhideWhenUsed/>
    <w:rsid w:val="00CD784B"/>
    <w:rPr>
      <w:sz w:val="16"/>
      <w:szCs w:val="16"/>
    </w:rPr>
  </w:style>
  <w:style w:type="paragraph" w:styleId="CommentText">
    <w:name w:val="annotation text"/>
    <w:basedOn w:val="Normal"/>
    <w:link w:val="CommentTextChar"/>
    <w:uiPriority w:val="99"/>
    <w:semiHidden/>
    <w:unhideWhenUsed/>
    <w:rsid w:val="00CD784B"/>
    <w:pPr>
      <w:spacing w:line="240" w:lineRule="auto"/>
    </w:pPr>
    <w:rPr>
      <w:sz w:val="20"/>
      <w:szCs w:val="20"/>
    </w:rPr>
  </w:style>
  <w:style w:type="character" w:customStyle="1" w:styleId="CommentTextChar">
    <w:name w:val="Comment Text Char"/>
    <w:basedOn w:val="DefaultParagraphFont"/>
    <w:link w:val="CommentText"/>
    <w:uiPriority w:val="99"/>
    <w:semiHidden/>
    <w:rsid w:val="00CD784B"/>
    <w:rPr>
      <w:sz w:val="20"/>
      <w:szCs w:val="20"/>
    </w:rPr>
  </w:style>
  <w:style w:type="paragraph" w:styleId="CommentSubject">
    <w:name w:val="annotation subject"/>
    <w:basedOn w:val="CommentText"/>
    <w:next w:val="CommentText"/>
    <w:link w:val="CommentSubjectChar"/>
    <w:uiPriority w:val="99"/>
    <w:semiHidden/>
    <w:unhideWhenUsed/>
    <w:rsid w:val="00CD784B"/>
    <w:rPr>
      <w:b/>
      <w:bCs/>
    </w:rPr>
  </w:style>
  <w:style w:type="character" w:customStyle="1" w:styleId="CommentSubjectChar">
    <w:name w:val="Comment Subject Char"/>
    <w:basedOn w:val="CommentTextChar"/>
    <w:link w:val="CommentSubject"/>
    <w:uiPriority w:val="99"/>
    <w:semiHidden/>
    <w:rsid w:val="00CD784B"/>
    <w:rPr>
      <w:b/>
      <w:bCs/>
    </w:rPr>
  </w:style>
  <w:style w:type="paragraph" w:styleId="BalloonText">
    <w:name w:val="Balloon Text"/>
    <w:basedOn w:val="Normal"/>
    <w:link w:val="BalloonTextChar"/>
    <w:uiPriority w:val="99"/>
    <w:semiHidden/>
    <w:unhideWhenUsed/>
    <w:rsid w:val="00CD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84B"/>
    <w:rPr>
      <w:rFonts w:ascii="Tahoma" w:hAnsi="Tahoma" w:cs="Tahoma"/>
      <w:sz w:val="16"/>
      <w:szCs w:val="16"/>
    </w:rPr>
  </w:style>
  <w:style w:type="paragraph" w:styleId="Header">
    <w:name w:val="header"/>
    <w:basedOn w:val="Normal"/>
    <w:link w:val="HeaderChar"/>
    <w:uiPriority w:val="99"/>
    <w:unhideWhenUsed/>
    <w:rsid w:val="0077205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7205E"/>
  </w:style>
  <w:style w:type="paragraph" w:styleId="Footer">
    <w:name w:val="footer"/>
    <w:basedOn w:val="Normal"/>
    <w:link w:val="FooterChar"/>
    <w:uiPriority w:val="99"/>
    <w:unhideWhenUsed/>
    <w:rsid w:val="0077205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7205E"/>
  </w:style>
  <w:style w:type="paragraph" w:customStyle="1" w:styleId="normal0">
    <w:name w:val="normal"/>
    <w:rsid w:val="0077205E"/>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910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9504</Words>
  <Characters>54178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Geografie</dc:creator>
  <cp:keywords/>
  <dc:description/>
  <cp:lastModifiedBy>dghinea</cp:lastModifiedBy>
  <cp:revision>49</cp:revision>
  <cp:lastPrinted>2016-04-20T07:37:00Z</cp:lastPrinted>
  <dcterms:created xsi:type="dcterms:W3CDTF">2015-05-13T03:29:00Z</dcterms:created>
  <dcterms:modified xsi:type="dcterms:W3CDTF">2016-04-20T07:37:00Z</dcterms:modified>
</cp:coreProperties>
</file>