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8E8" w:rsidRDefault="00CF0DB8">
      <w:pPr>
        <w:pBdr>
          <w:top w:val="nil"/>
          <w:left w:val="nil"/>
          <w:bottom w:val="nil"/>
          <w:right w:val="nil"/>
          <w:between w:val="nil"/>
        </w:pBdr>
        <w:spacing w:line="240" w:lineRule="auto"/>
        <w:ind w:left="141" w:right="15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Nr.</w:t>
      </w:r>
      <w:r w:rsidR="007937CA">
        <w:rPr>
          <w:rFonts w:ascii="Times New Roman" w:eastAsia="Times New Roman" w:hAnsi="Times New Roman" w:cs="Times New Roman"/>
          <w:sz w:val="24"/>
          <w:szCs w:val="24"/>
        </w:rPr>
        <w:t>20107/16.10.2023</w:t>
      </w:r>
    </w:p>
    <w:p w:rsidR="00873201" w:rsidRDefault="00873201">
      <w:pPr>
        <w:pBdr>
          <w:top w:val="nil"/>
          <w:left w:val="nil"/>
          <w:bottom w:val="nil"/>
          <w:right w:val="nil"/>
          <w:between w:val="nil"/>
        </w:pBdr>
        <w:spacing w:line="240" w:lineRule="auto"/>
        <w:ind w:left="141" w:right="150"/>
        <w:rPr>
          <w:rFonts w:ascii="Times New Roman" w:eastAsia="Times New Roman" w:hAnsi="Times New Roman" w:cs="Times New Roman"/>
          <w:sz w:val="24"/>
          <w:szCs w:val="24"/>
        </w:rPr>
      </w:pPr>
    </w:p>
    <w:p w:rsidR="00873201" w:rsidRPr="00362A52" w:rsidRDefault="00873201" w:rsidP="00873201">
      <w:pPr>
        <w:autoSpaceDE w:val="0"/>
        <w:autoSpaceDN w:val="0"/>
        <w:adjustRightInd w:val="0"/>
        <w:spacing w:after="0" w:line="240" w:lineRule="auto"/>
        <w:jc w:val="center"/>
        <w:rPr>
          <w:rFonts w:ascii="Times New Roman" w:hAnsi="Times New Roman"/>
          <w:sz w:val="24"/>
          <w:szCs w:val="24"/>
        </w:rPr>
      </w:pPr>
      <w:r w:rsidRPr="00362A52">
        <w:rPr>
          <w:rFonts w:ascii="Times New Roman" w:hAnsi="Times New Roman"/>
          <w:sz w:val="24"/>
          <w:szCs w:val="24"/>
        </w:rPr>
        <w:t>RAPORT DE SPECIALITATE</w:t>
      </w:r>
    </w:p>
    <w:p w:rsidR="00873201" w:rsidRPr="00362A52" w:rsidRDefault="00873201" w:rsidP="00873201">
      <w:pPr>
        <w:autoSpaceDE w:val="0"/>
        <w:autoSpaceDN w:val="0"/>
        <w:adjustRightInd w:val="0"/>
        <w:spacing w:after="0" w:line="240" w:lineRule="auto"/>
        <w:jc w:val="center"/>
        <w:rPr>
          <w:rFonts w:ascii="Times New Roman" w:hAnsi="Times New Roman"/>
          <w:sz w:val="24"/>
          <w:szCs w:val="24"/>
        </w:rPr>
      </w:pPr>
      <w:r w:rsidRPr="00362A52">
        <w:rPr>
          <w:rFonts w:ascii="Times New Roman" w:hAnsi="Times New Roman"/>
          <w:sz w:val="24"/>
          <w:szCs w:val="24"/>
        </w:rPr>
        <w:t xml:space="preserve">privind aprobarea </w:t>
      </w:r>
      <w:r>
        <w:rPr>
          <w:rFonts w:ascii="Times New Roman" w:hAnsi="Times New Roman"/>
          <w:sz w:val="24"/>
          <w:szCs w:val="24"/>
        </w:rPr>
        <w:t>derulării proiectului WELDI, finanțat prin Programul de Cooperarea URBACT IV al Comisiei Europene (fonduri FEDR), a participării Direcției de Asistență Socială a Municipiului Timișoara la implementarea proiectului și a contribuției Direcției de Asistență Socială a Municipiului Timișoara în acest proiect</w:t>
      </w:r>
    </w:p>
    <w:p w:rsidR="00873201" w:rsidRDefault="00873201" w:rsidP="00873201">
      <w:pPr>
        <w:pStyle w:val="spar"/>
        <w:tabs>
          <w:tab w:val="left" w:pos="4245"/>
        </w:tabs>
        <w:jc w:val="both"/>
        <w:rPr>
          <w:color w:val="000000"/>
          <w:shd w:val="clear" w:color="auto" w:fill="FFFFFF"/>
        </w:rPr>
      </w:pPr>
      <w:r>
        <w:rPr>
          <w:color w:val="000000"/>
          <w:shd w:val="clear" w:color="auto" w:fill="FFFFFF"/>
        </w:rPr>
        <w:tab/>
      </w:r>
    </w:p>
    <w:p w:rsidR="00873201" w:rsidRDefault="00873201" w:rsidP="00873201">
      <w:pPr>
        <w:pStyle w:val="spar"/>
        <w:tabs>
          <w:tab w:val="left" w:pos="3231"/>
        </w:tabs>
        <w:jc w:val="both"/>
        <w:rPr>
          <w:color w:val="000000"/>
          <w:shd w:val="clear" w:color="auto" w:fill="FFFFFF"/>
        </w:rPr>
      </w:pPr>
      <w:r>
        <w:rPr>
          <w:color w:val="000000"/>
          <w:shd w:val="clear" w:color="auto" w:fill="FFFFFF"/>
        </w:rPr>
        <w:tab/>
      </w:r>
    </w:p>
    <w:p w:rsidR="00873201" w:rsidRDefault="00873201" w:rsidP="00873201">
      <w:pPr>
        <w:pStyle w:val="spar"/>
        <w:jc w:val="both"/>
        <w:rPr>
          <w:color w:val="000000"/>
          <w:shd w:val="clear" w:color="auto" w:fill="FFFFFF"/>
        </w:rPr>
      </w:pPr>
      <w:r>
        <w:rPr>
          <w:color w:val="000000"/>
          <w:shd w:val="clear" w:color="auto" w:fill="FFFFFF"/>
        </w:rPr>
        <w:tab/>
      </w:r>
      <w:bookmarkStart w:id="0" w:name="_Hlk139647259"/>
      <w:r>
        <w:rPr>
          <w:color w:val="000000"/>
          <w:shd w:val="clear" w:color="auto" w:fill="FFFFFF"/>
        </w:rPr>
        <w:t xml:space="preserve">În data de 10.03.2023 a fost semnată </w:t>
      </w:r>
      <w:r w:rsidRPr="009D1EEB">
        <w:rPr>
          <w:i/>
          <w:color w:val="000000"/>
          <w:shd w:val="clear" w:color="auto" w:fill="FFFFFF"/>
        </w:rPr>
        <w:t>Scrisoarea de intenție</w:t>
      </w:r>
      <w:r>
        <w:rPr>
          <w:i/>
          <w:color w:val="000000"/>
          <w:shd w:val="clear" w:color="auto" w:fill="FFFFFF"/>
        </w:rPr>
        <w:t>/</w:t>
      </w:r>
      <w:r w:rsidRPr="00BB789C">
        <w:rPr>
          <w:i/>
          <w:color w:val="000000"/>
          <w:shd w:val="clear" w:color="auto" w:fill="FFFFFF"/>
          <w:lang w:val="en-GB"/>
        </w:rPr>
        <w:t>Letter of commitment for a project partner</w:t>
      </w:r>
      <w:r>
        <w:rPr>
          <w:color w:val="000000"/>
          <w:shd w:val="clear" w:color="auto" w:fill="FFFFFF"/>
        </w:rPr>
        <w:t xml:space="preserve">  privind participarea Direcției de Asistență Socială a Municipiului Timișoara ca partener în proiectul </w:t>
      </w:r>
      <w:r w:rsidRPr="00BB789C">
        <w:rPr>
          <w:color w:val="000000"/>
          <w:shd w:val="clear" w:color="auto" w:fill="FFFFFF"/>
          <w:lang w:val="en-GB"/>
        </w:rPr>
        <w:t>Welcome and Empowerment for Local Dignified Integration</w:t>
      </w:r>
      <w:r>
        <w:rPr>
          <w:color w:val="000000"/>
          <w:shd w:val="clear" w:color="auto" w:fill="FFFFFF"/>
        </w:rPr>
        <w:t xml:space="preserve"> - WELDI, cofinanțat prin Programul de Cooperare URBACT IV al Uniunii Europene și implicarea în activitățile proiectului. </w:t>
      </w:r>
    </w:p>
    <w:p w:rsidR="00873201" w:rsidRDefault="00873201" w:rsidP="00873201">
      <w:pPr>
        <w:pStyle w:val="spar"/>
        <w:jc w:val="both"/>
        <w:rPr>
          <w:color w:val="000000"/>
          <w:shd w:val="clear" w:color="auto" w:fill="FFFFFF"/>
        </w:rPr>
      </w:pPr>
      <w:r>
        <w:rPr>
          <w:color w:val="000000"/>
          <w:shd w:val="clear" w:color="auto" w:fill="FFFFFF"/>
        </w:rPr>
        <w:tab/>
        <w:t>În data de 06.06.2023 s-a primit prin e-mail Scrisoarea de Notificare înregistrată cu numărul 10981/06.06.2023 transmisă de Secretariatul URBACT orașului Utrecht (Olanda), care este leader de proiect, prin care se confirmă aprobarea includerii Rețelei de Planificare a Acțiunii/Action Planning Network WELDI în finanțarea acordată prin programul URBACT IV, prin Decizia Comitetului de Monitorizare din data de 31 mai 2023.</w:t>
      </w:r>
    </w:p>
    <w:p w:rsidR="00873201" w:rsidRDefault="00873201" w:rsidP="00873201">
      <w:pPr>
        <w:pStyle w:val="spar"/>
        <w:ind w:firstLine="520"/>
        <w:jc w:val="both"/>
        <w:rPr>
          <w:color w:val="000000"/>
          <w:shd w:val="clear" w:color="auto" w:fill="FFFFFF"/>
        </w:rPr>
      </w:pPr>
      <w:bookmarkStart w:id="1" w:name="_Hlk148339600"/>
      <w:r>
        <w:rPr>
          <w:color w:val="000000"/>
          <w:shd w:val="clear" w:color="auto" w:fill="FFFFFF"/>
        </w:rPr>
        <w:t xml:space="preserve">În data de 06.10.2023, orașul Utrecht, leader al rețelei WELDI, ne-a transmis Acordul de parteneriat/Joint Convention semnat de către toate orașele partenere din proiect, iar în data de 12.10.2023 a fost transmis Contractul de Finanțare/Subsidy Contract semnat de către orașul Utrecht, leader de proiect și Secretariatul URBACT.     </w:t>
      </w:r>
    </w:p>
    <w:bookmarkEnd w:id="1"/>
    <w:p w:rsidR="00873201" w:rsidRDefault="00873201" w:rsidP="00873201">
      <w:pPr>
        <w:pStyle w:val="spar"/>
        <w:jc w:val="both"/>
        <w:rPr>
          <w:color w:val="000000"/>
          <w:shd w:val="clear" w:color="auto" w:fill="FFFFFF"/>
        </w:rPr>
      </w:pPr>
      <w:r>
        <w:rPr>
          <w:color w:val="000000"/>
          <w:shd w:val="clear" w:color="auto" w:fill="FFFFFF"/>
        </w:rPr>
        <w:tab/>
        <w:t>Parteneri în proiectul WELDI sunt: orașul Utrecht (Olanda) leader de proiect, orașul Sosnowiec (Polonia), orașul Fundao (Portugalia), orașul Albacete (Spania), Direcția de Asistență Socială a Municipiului Timișoara (România), orașul Cluj-Napoca (România), orașul Osijek (Croația), orașul Lampedusa (Italia), orașul Liege (Belgia) și județul Seine-Saint Denis (Franța).</w:t>
      </w:r>
    </w:p>
    <w:p w:rsidR="00873201" w:rsidRDefault="00873201" w:rsidP="00873201">
      <w:pPr>
        <w:pStyle w:val="spar"/>
        <w:jc w:val="both"/>
        <w:rPr>
          <w:color w:val="000000"/>
          <w:shd w:val="clear" w:color="auto" w:fill="FFFFFF"/>
        </w:rPr>
      </w:pPr>
      <w:r>
        <w:rPr>
          <w:color w:val="000000"/>
          <w:shd w:val="clear" w:color="auto" w:fill="FFFFFF"/>
        </w:rPr>
        <w:tab/>
        <w:t xml:space="preserve">Proiectul WELDI adresează integrarea imigranților nou sosiți în orașe și are drept scop împuternicirea autorităților locale în colaborare cu alți parteneri de la nivel local și internațional pentru a garanta condiții de primire decente și a facilita integrarea nou veniților în comunitățile gazdă. Pe perioada de implementare a proiectului vor avea loc o serie de activități de învățare la nivel transnațional și activități la nivel local. Astfel se vor desfășura cel puțin 6 întâlniri la nivel transnațional la care vor participa delegați ai orașelor partenere în rețea și experți de la nivel european și național. Aceste întâlniri vor da posibilitatea partenerilor să facă schimburi de experiență și să învețe de la experți cu privire la soluții pentru o mai bună integrare a migranților în orașe, precum și cum să construiască un plan de acțiune la nivel local în această direcție. La nivel local vor avea loc întâlniri ale Grupului Local URBACT (ULG) constituit în cadrul proiectului și va fi creat un Plan de Acțiune Local Integrat. De asemenea, tot la nivel local, vor fi realizate acțiuni de mică dimensiune care să testeze măsuri propuse în cadrul planului de acțiune local. Acțiunile de la nivel transnațional vor fi strâns corelate cu cele de la nivel local, de exemplu vizitele de studii și organizarea de workshop-uri vor fi realizate ținând cont de nevoile locale de învățare și dezvoltare. Pe tot parcursul proiectului vor fi realizate activități de comunicare și diseminare fiind scrise articole și actualizate pagini web și social media ale partenerilor. </w:t>
      </w:r>
    </w:p>
    <w:p w:rsidR="00873201" w:rsidRDefault="00873201" w:rsidP="00873201">
      <w:pPr>
        <w:pStyle w:val="spar"/>
        <w:jc w:val="both"/>
        <w:rPr>
          <w:color w:val="000000"/>
          <w:shd w:val="clear" w:color="auto" w:fill="FFFFFF"/>
        </w:rPr>
      </w:pPr>
      <w:r>
        <w:rPr>
          <w:color w:val="000000"/>
          <w:shd w:val="clear" w:color="auto" w:fill="FFFFFF"/>
        </w:rPr>
        <w:tab/>
        <w:t xml:space="preserve">În România și în Timișoara se observă o prezență în creștere atât a cetățenilor din cadrul UE, cât și a cetățenilor din state terțe, care aleg să locuiască și să muncească în orașul nostru. Începând cu </w:t>
      </w:r>
      <w:r>
        <w:rPr>
          <w:color w:val="000000"/>
          <w:shd w:val="clear" w:color="auto" w:fill="FFFFFF"/>
        </w:rPr>
        <w:lastRenderedPageBreak/>
        <w:t xml:space="preserve">anul 2022, odată cu declanșarea agresiuni armate de pe teritoriul Ucrainei, numărul refugiaților cu statut legal care au nevoie de sprijinul autorităților publice locale a cunoscut o creștere bruscă. Începând cu martie 2022 și până în prezent, peste 4000 de refugiați din Ucraina au solicitat sprijinul </w:t>
      </w:r>
      <w:r w:rsidRPr="0083342A">
        <w:rPr>
          <w:color w:val="000000"/>
          <w:shd w:val="clear" w:color="auto" w:fill="FFFFFF"/>
        </w:rPr>
        <w:t>Serviciul</w:t>
      </w:r>
      <w:r>
        <w:rPr>
          <w:color w:val="000000"/>
          <w:shd w:val="clear" w:color="auto" w:fill="FFFFFF"/>
        </w:rPr>
        <w:t>ui de</w:t>
      </w:r>
      <w:r w:rsidRPr="0083342A">
        <w:rPr>
          <w:color w:val="000000"/>
          <w:shd w:val="clear" w:color="auto" w:fill="FFFFFF"/>
        </w:rPr>
        <w:t xml:space="preserve"> Reziliență și Mobilizare Comunitară din cadrul DAS Timișoara</w:t>
      </w:r>
      <w:r>
        <w:rPr>
          <w:color w:val="000000"/>
          <w:shd w:val="clear" w:color="auto" w:fill="FFFFFF"/>
        </w:rPr>
        <w:t>, serviciu printre atribuțiile căruia se numără</w:t>
      </w:r>
      <w:r w:rsidRPr="0083342A">
        <w:rPr>
          <w:color w:val="000000"/>
          <w:shd w:val="clear" w:color="auto" w:fill="FFFFFF"/>
        </w:rPr>
        <w:t xml:space="preserve"> întreprinderea de măsuri pentru integrarea socială a străinilor, fie ei refugiați sau migranți, care au drept de ședere în România. </w:t>
      </w:r>
    </w:p>
    <w:p w:rsidR="00873201" w:rsidRDefault="00873201" w:rsidP="00873201">
      <w:pPr>
        <w:pStyle w:val="spar"/>
        <w:jc w:val="both"/>
        <w:rPr>
          <w:color w:val="000000"/>
          <w:shd w:val="clear" w:color="auto" w:fill="FFFFFF"/>
        </w:rPr>
      </w:pPr>
      <w:r>
        <w:rPr>
          <w:color w:val="000000"/>
          <w:shd w:val="clear" w:color="auto" w:fill="FFFFFF"/>
        </w:rPr>
        <w:tab/>
        <w:t xml:space="preserve">Conform </w:t>
      </w:r>
      <w:r w:rsidRPr="00FA0AD4">
        <w:rPr>
          <w:color w:val="000000"/>
          <w:shd w:val="clear" w:color="auto" w:fill="FFFFFF"/>
        </w:rPr>
        <w:t>O</w:t>
      </w:r>
      <w:r>
        <w:rPr>
          <w:color w:val="000000"/>
          <w:shd w:val="clear" w:color="auto" w:fill="FFFFFF"/>
        </w:rPr>
        <w:t>rdonanței</w:t>
      </w:r>
      <w:r w:rsidRPr="00FA0AD4">
        <w:rPr>
          <w:color w:val="000000"/>
          <w:shd w:val="clear" w:color="auto" w:fill="FFFFFF"/>
        </w:rPr>
        <w:t xml:space="preserve"> </w:t>
      </w:r>
      <w:r>
        <w:rPr>
          <w:color w:val="000000"/>
          <w:shd w:val="clear" w:color="auto" w:fill="FFFFFF"/>
        </w:rPr>
        <w:t>n</w:t>
      </w:r>
      <w:r w:rsidRPr="00FA0AD4">
        <w:rPr>
          <w:color w:val="000000"/>
          <w:shd w:val="clear" w:color="auto" w:fill="FFFFFF"/>
        </w:rPr>
        <w:t>r. 44/2004 privind integrarea socială a străinilor care au dobândit protecție internațională sau un drept de ședere în România, precum și a cetățenilor statelor membre ale Uniunii Europene, Spațiului Economic European și a cetățenilor Confederației Elvețiene</w:t>
      </w:r>
      <w:r>
        <w:rPr>
          <w:color w:val="000000"/>
          <w:shd w:val="clear" w:color="auto" w:fill="FFFFFF"/>
        </w:rPr>
        <w:t xml:space="preserve">, art. </w:t>
      </w:r>
      <w:r w:rsidRPr="00FA0AD4">
        <w:rPr>
          <w:color w:val="000000"/>
          <w:shd w:val="clear" w:color="auto" w:fill="FFFFFF"/>
        </w:rPr>
        <w:t>14^1</w:t>
      </w:r>
      <w:r>
        <w:rPr>
          <w:color w:val="000000"/>
          <w:shd w:val="clear" w:color="auto" w:fill="FFFFFF"/>
        </w:rPr>
        <w:t xml:space="preserve">, alin. </w:t>
      </w:r>
      <w:r w:rsidRPr="00FA0AD4">
        <w:rPr>
          <w:color w:val="000000"/>
          <w:shd w:val="clear" w:color="auto" w:fill="FFFFFF"/>
        </w:rPr>
        <w:t xml:space="preserve">(1) </w:t>
      </w:r>
      <w:r>
        <w:rPr>
          <w:color w:val="000000"/>
          <w:shd w:val="clear" w:color="auto" w:fill="FFFFFF"/>
        </w:rPr>
        <w:t>”</w:t>
      </w:r>
      <w:r w:rsidRPr="00FA0AD4">
        <w:rPr>
          <w:color w:val="000000"/>
          <w:shd w:val="clear" w:color="auto" w:fill="FFFFFF"/>
        </w:rPr>
        <w:t>În scopul asigurării accesului efectiv la drepturile sociale reglementate de prezentul capitol, autoritățile competente de la nivel central și local țin seama de specificul situației în care se află străinii care au dobândit protecție internațională în România</w:t>
      </w:r>
      <w:r>
        <w:rPr>
          <w:color w:val="000000"/>
          <w:shd w:val="clear" w:color="auto" w:fill="FFFFFF"/>
        </w:rPr>
        <w:t>” și art. 30 ”</w:t>
      </w:r>
      <w:r w:rsidRPr="00FA0AD4">
        <w:rPr>
          <w:color w:val="000000"/>
          <w:shd w:val="clear" w:color="auto" w:fill="FFFFFF"/>
        </w:rPr>
        <w:t>Autoritățile administrației publice locale au obligația de a sprijini accesul străinilor care au dobândit protecție internațională în România la asistență socială, medicală și la educație, în condițiile legii, prin funcționari anume desemnați și pregătiți în aceste domenii</w:t>
      </w:r>
      <w:r>
        <w:rPr>
          <w:color w:val="000000"/>
          <w:shd w:val="clear" w:color="auto" w:fill="FFFFFF"/>
        </w:rPr>
        <w:t xml:space="preserve">”. </w:t>
      </w:r>
    </w:p>
    <w:p w:rsidR="00873201" w:rsidRDefault="00873201" w:rsidP="00873201">
      <w:pPr>
        <w:pStyle w:val="spar"/>
        <w:jc w:val="both"/>
        <w:rPr>
          <w:color w:val="000000"/>
          <w:shd w:val="clear" w:color="auto" w:fill="FFFFFF"/>
        </w:rPr>
      </w:pPr>
      <w:r>
        <w:rPr>
          <w:color w:val="000000"/>
          <w:shd w:val="clear" w:color="auto" w:fill="FFFFFF"/>
        </w:rPr>
        <w:tab/>
        <w:t xml:space="preserve">Având în vedere scopul proiectului WELDI, situația la nivel național și local în ceea ce privește migranții și atribuțiile legale ale autorităților publice locale în ceea ce privește sprijinirea străinilor care au dobândit protecție internațională, considerăm că se justifică participarea Direcției de Asistență Socială a Municipiului Timișoara în proiectul WELDI. </w:t>
      </w:r>
    </w:p>
    <w:bookmarkEnd w:id="0"/>
    <w:p w:rsidR="00873201" w:rsidRDefault="00873201" w:rsidP="00873201">
      <w:pPr>
        <w:pStyle w:val="spar"/>
        <w:ind w:firstLine="417"/>
        <w:jc w:val="both"/>
        <w:rPr>
          <w:color w:val="000000"/>
          <w:shd w:val="clear" w:color="auto" w:fill="FFFFFF"/>
        </w:rPr>
      </w:pPr>
      <w:r>
        <w:rPr>
          <w:color w:val="000000"/>
          <w:shd w:val="clear" w:color="auto" w:fill="FFFFFF"/>
        </w:rPr>
        <w:t xml:space="preserve">Proiectului WELDI are o durată de 31 luni </w:t>
      </w:r>
      <w:r w:rsidRPr="000C438F">
        <w:rPr>
          <w:color w:val="000000"/>
          <w:shd w:val="clear" w:color="auto" w:fill="FFFFFF"/>
        </w:rPr>
        <w:t xml:space="preserve">(01 iunie 2023 – </w:t>
      </w:r>
      <w:r>
        <w:rPr>
          <w:color w:val="000000"/>
          <w:shd w:val="clear" w:color="auto" w:fill="FFFFFF"/>
        </w:rPr>
        <w:t>31</w:t>
      </w:r>
      <w:r w:rsidRPr="000C438F">
        <w:rPr>
          <w:color w:val="000000"/>
          <w:shd w:val="clear" w:color="auto" w:fill="FFFFFF"/>
        </w:rPr>
        <w:t xml:space="preserve"> </w:t>
      </w:r>
      <w:r>
        <w:rPr>
          <w:color w:val="000000"/>
          <w:shd w:val="clear" w:color="auto" w:fill="FFFFFF"/>
        </w:rPr>
        <w:t>decembrie</w:t>
      </w:r>
      <w:r w:rsidRPr="000C438F">
        <w:rPr>
          <w:color w:val="000000"/>
          <w:shd w:val="clear" w:color="auto" w:fill="FFFFFF"/>
        </w:rPr>
        <w:t xml:space="preserve"> 202</w:t>
      </w:r>
      <w:r>
        <w:rPr>
          <w:color w:val="000000"/>
          <w:shd w:val="clear" w:color="auto" w:fill="FFFFFF"/>
        </w:rPr>
        <w:t xml:space="preserve">5). </w:t>
      </w:r>
    </w:p>
    <w:p w:rsidR="00873201" w:rsidRDefault="00873201" w:rsidP="00873201">
      <w:pPr>
        <w:autoSpaceDE w:val="0"/>
        <w:autoSpaceDN w:val="0"/>
        <w:adjustRightInd w:val="0"/>
        <w:spacing w:after="0" w:line="240" w:lineRule="auto"/>
        <w:ind w:firstLine="605"/>
        <w:jc w:val="both"/>
        <w:rPr>
          <w:rFonts w:ascii="Times New Roman" w:hAnsi="Times New Roman"/>
          <w:sz w:val="24"/>
          <w:szCs w:val="24"/>
          <w:shd w:val="clear" w:color="auto" w:fill="FFFFFF"/>
        </w:rPr>
      </w:pPr>
      <w:r>
        <w:rPr>
          <w:rFonts w:ascii="Times New Roman" w:hAnsi="Times New Roman"/>
          <w:sz w:val="24"/>
          <w:szCs w:val="24"/>
        </w:rPr>
        <w:t xml:space="preserve">În ceea ce privește bugetul proiectului WELDI </w:t>
      </w:r>
      <w:r>
        <w:rPr>
          <w:rFonts w:ascii="Times New Roman" w:hAnsi="Times New Roman"/>
          <w:sz w:val="24"/>
          <w:szCs w:val="24"/>
          <w:shd w:val="clear" w:color="auto" w:fill="FFFFFF"/>
        </w:rPr>
        <w:t>situația este următoarea:</w:t>
      </w:r>
    </w:p>
    <w:p w:rsidR="00873201" w:rsidRPr="008F7716" w:rsidRDefault="00873201" w:rsidP="00873201">
      <w:pPr>
        <w:pStyle w:val="spar"/>
        <w:numPr>
          <w:ilvl w:val="0"/>
          <w:numId w:val="3"/>
        </w:numPr>
        <w:jc w:val="both"/>
        <w:rPr>
          <w:bCs/>
          <w:color w:val="000000"/>
          <w:shd w:val="clear" w:color="auto" w:fill="FFFFFF"/>
        </w:rPr>
      </w:pPr>
      <w:r w:rsidRPr="008F7716">
        <w:rPr>
          <w:bCs/>
          <w:color w:val="000000"/>
          <w:shd w:val="clear" w:color="auto" w:fill="FFFFFF"/>
        </w:rPr>
        <w:t>Bugetul total: 849943.50 €, din care contribuția FEDR este de 626810.93 € și cofinanțarea publică este de 223132.57 €.</w:t>
      </w:r>
    </w:p>
    <w:p w:rsidR="00873201" w:rsidRPr="008F7716" w:rsidRDefault="00873201" w:rsidP="00873201">
      <w:pPr>
        <w:pStyle w:val="spar"/>
        <w:numPr>
          <w:ilvl w:val="0"/>
          <w:numId w:val="3"/>
        </w:numPr>
        <w:jc w:val="both"/>
        <w:rPr>
          <w:bCs/>
          <w:color w:val="000000"/>
          <w:shd w:val="clear" w:color="auto" w:fill="FFFFFF"/>
        </w:rPr>
      </w:pPr>
      <w:r w:rsidRPr="008F7716">
        <w:rPr>
          <w:bCs/>
          <w:color w:val="000000"/>
          <w:shd w:val="clear" w:color="auto" w:fill="FFFFFF"/>
        </w:rPr>
        <w:t xml:space="preserve"> Buget Direcția de Asistență Socială a Municipiului Timișoara: 66450.00 € din care: </w:t>
      </w:r>
    </w:p>
    <w:p w:rsidR="00873201" w:rsidRPr="008F7716" w:rsidRDefault="00873201" w:rsidP="00873201">
      <w:pPr>
        <w:pStyle w:val="spar"/>
        <w:numPr>
          <w:ilvl w:val="0"/>
          <w:numId w:val="4"/>
        </w:numPr>
        <w:jc w:val="both"/>
        <w:rPr>
          <w:bCs/>
          <w:color w:val="000000"/>
          <w:shd w:val="clear" w:color="auto" w:fill="FFFFFF"/>
        </w:rPr>
      </w:pPr>
      <w:r w:rsidRPr="008F7716">
        <w:rPr>
          <w:bCs/>
          <w:color w:val="000000"/>
          <w:shd w:val="clear" w:color="auto" w:fill="FFFFFF"/>
        </w:rPr>
        <w:t xml:space="preserve">contribuția FEDR: 53160.00 € (reprezentând 80%) </w:t>
      </w:r>
    </w:p>
    <w:p w:rsidR="00873201" w:rsidRPr="008F7716" w:rsidRDefault="00873201" w:rsidP="00873201">
      <w:pPr>
        <w:pStyle w:val="spar"/>
        <w:numPr>
          <w:ilvl w:val="0"/>
          <w:numId w:val="4"/>
        </w:numPr>
        <w:jc w:val="both"/>
        <w:rPr>
          <w:bCs/>
          <w:color w:val="000000"/>
          <w:shd w:val="clear" w:color="auto" w:fill="FFFFFF"/>
        </w:rPr>
      </w:pPr>
      <w:r w:rsidRPr="008F7716">
        <w:rPr>
          <w:bCs/>
          <w:color w:val="000000"/>
          <w:shd w:val="clear" w:color="auto" w:fill="FFFFFF"/>
        </w:rPr>
        <w:t>contribuția națională 13290.00 € din care</w:t>
      </w:r>
    </w:p>
    <w:p w:rsidR="00873201" w:rsidRPr="008F7716" w:rsidRDefault="00873201" w:rsidP="00873201">
      <w:pPr>
        <w:pStyle w:val="spar"/>
        <w:numPr>
          <w:ilvl w:val="0"/>
          <w:numId w:val="4"/>
        </w:numPr>
        <w:jc w:val="both"/>
        <w:rPr>
          <w:bCs/>
          <w:color w:val="000000"/>
          <w:shd w:val="clear" w:color="auto" w:fill="FFFFFF"/>
        </w:rPr>
      </w:pPr>
      <w:r w:rsidRPr="008F7716">
        <w:rPr>
          <w:bCs/>
          <w:color w:val="000000"/>
          <w:shd w:val="clear" w:color="auto" w:fill="FFFFFF"/>
        </w:rPr>
        <w:t xml:space="preserve">contribuția de la bugetul de stat 11961.00 € (reprezentând 18%) </w:t>
      </w:r>
    </w:p>
    <w:p w:rsidR="00873201" w:rsidRPr="008F7716" w:rsidRDefault="00873201" w:rsidP="00873201">
      <w:pPr>
        <w:pStyle w:val="spar"/>
        <w:numPr>
          <w:ilvl w:val="0"/>
          <w:numId w:val="4"/>
        </w:numPr>
        <w:jc w:val="both"/>
        <w:rPr>
          <w:bCs/>
          <w:color w:val="000000"/>
          <w:shd w:val="clear" w:color="auto" w:fill="FFFFFF"/>
        </w:rPr>
      </w:pPr>
      <w:r w:rsidRPr="008F7716">
        <w:rPr>
          <w:bCs/>
          <w:color w:val="000000"/>
          <w:shd w:val="clear" w:color="auto" w:fill="FFFFFF"/>
        </w:rPr>
        <w:t xml:space="preserve">contribuție proprie beneficiar: 1329.00 € (reprezentând 2%) </w:t>
      </w:r>
    </w:p>
    <w:p w:rsidR="00873201" w:rsidRPr="008F7716" w:rsidRDefault="00873201" w:rsidP="00873201">
      <w:pPr>
        <w:pStyle w:val="spar"/>
        <w:numPr>
          <w:ilvl w:val="0"/>
          <w:numId w:val="3"/>
        </w:numPr>
        <w:jc w:val="both"/>
        <w:rPr>
          <w:bCs/>
          <w:color w:val="000000"/>
          <w:shd w:val="clear" w:color="auto" w:fill="FFFFFF"/>
        </w:rPr>
      </w:pPr>
      <w:r w:rsidRPr="008F7716">
        <w:rPr>
          <w:bCs/>
          <w:color w:val="000000"/>
          <w:shd w:val="clear" w:color="auto" w:fill="FFFFFF"/>
        </w:rPr>
        <w:t>Bugetul Direcția de Asistență Socială a Municipiului Timișoara, împărțit pe ani este</w:t>
      </w:r>
    </w:p>
    <w:p w:rsidR="00873201" w:rsidRPr="008F7716" w:rsidRDefault="00873201" w:rsidP="00873201">
      <w:pPr>
        <w:pStyle w:val="spar"/>
        <w:numPr>
          <w:ilvl w:val="0"/>
          <w:numId w:val="5"/>
        </w:numPr>
        <w:jc w:val="both"/>
        <w:rPr>
          <w:bCs/>
          <w:color w:val="000000"/>
          <w:shd w:val="clear" w:color="auto" w:fill="FFFFFF"/>
        </w:rPr>
      </w:pPr>
      <w:r w:rsidRPr="008F7716">
        <w:rPr>
          <w:bCs/>
          <w:color w:val="000000"/>
          <w:shd w:val="clear" w:color="auto" w:fill="FFFFFF"/>
        </w:rPr>
        <w:t>Anul 2023: 11462.50 €</w:t>
      </w:r>
    </w:p>
    <w:p w:rsidR="00873201" w:rsidRPr="008F7716" w:rsidRDefault="00873201" w:rsidP="00873201">
      <w:pPr>
        <w:pStyle w:val="spar"/>
        <w:numPr>
          <w:ilvl w:val="0"/>
          <w:numId w:val="5"/>
        </w:numPr>
        <w:jc w:val="both"/>
        <w:rPr>
          <w:bCs/>
          <w:color w:val="000000"/>
          <w:shd w:val="clear" w:color="auto" w:fill="FFFFFF"/>
        </w:rPr>
      </w:pPr>
      <w:r w:rsidRPr="008F7716">
        <w:rPr>
          <w:bCs/>
          <w:color w:val="000000"/>
          <w:shd w:val="clear" w:color="auto" w:fill="FFFFFF"/>
        </w:rPr>
        <w:t>Anul 2024: 26206.25€</w:t>
      </w:r>
    </w:p>
    <w:p w:rsidR="00873201" w:rsidRPr="008F7716" w:rsidRDefault="00873201" w:rsidP="00873201">
      <w:pPr>
        <w:pStyle w:val="spar"/>
        <w:numPr>
          <w:ilvl w:val="0"/>
          <w:numId w:val="5"/>
        </w:numPr>
        <w:jc w:val="both"/>
        <w:rPr>
          <w:bCs/>
          <w:color w:val="000000"/>
          <w:shd w:val="clear" w:color="auto" w:fill="FFFFFF"/>
        </w:rPr>
      </w:pPr>
      <w:r w:rsidRPr="008F7716">
        <w:rPr>
          <w:bCs/>
          <w:color w:val="000000"/>
          <w:shd w:val="clear" w:color="auto" w:fill="FFFFFF"/>
        </w:rPr>
        <w:t>Anul 2025: 28781.25 €</w:t>
      </w:r>
    </w:p>
    <w:p w:rsidR="00873201" w:rsidRDefault="00873201" w:rsidP="00873201">
      <w:pPr>
        <w:pStyle w:val="spar"/>
        <w:ind w:firstLine="417"/>
        <w:jc w:val="both"/>
        <w:rPr>
          <w:bCs/>
          <w:color w:val="000000"/>
          <w:shd w:val="clear" w:color="auto" w:fill="FFFFFF"/>
        </w:rPr>
      </w:pPr>
      <w:r w:rsidRPr="008F7716">
        <w:rPr>
          <w:bCs/>
          <w:color w:val="000000"/>
          <w:shd w:val="clear" w:color="auto" w:fill="FFFFFF"/>
        </w:rPr>
        <w:t>În conformitate cu prevederile legislației naționale, respectiv Legea nr. 231 din 19 iulie 2022</w:t>
      </w:r>
      <w:r>
        <w:rPr>
          <w:bCs/>
          <w:color w:val="000000"/>
          <w:shd w:val="clear" w:color="auto" w:fill="FFFFFF"/>
        </w:rPr>
        <w:t xml:space="preserve"> </w:t>
      </w:r>
      <w:r w:rsidRPr="008F7716">
        <w:rPr>
          <w:bCs/>
          <w:color w:val="000000"/>
          <w:shd w:val="clear" w:color="auto" w:fill="FFFFFF"/>
        </w:rPr>
        <w:t xml:space="preserve">privind gestionarea și utilizarea fondurilor Interreg şi a contribuţiei publice naționale, pentru obiectivul "Cooperare teritorială europeană", în perioada 2021-2027, OUG 57/2019 privind Codul Administrativ, Legea nr. 500/2002, a finanțelor publice, cu modificările și completările ulterioare, Legea nr. 273/2006 cu privire la finanțele publice locale, cu modificările și completările ulterioare, </w:t>
      </w:r>
    </w:p>
    <w:p w:rsidR="00811DB7" w:rsidRPr="008F7716" w:rsidRDefault="00811DB7" w:rsidP="00873201">
      <w:pPr>
        <w:pStyle w:val="spar"/>
        <w:ind w:firstLine="417"/>
        <w:jc w:val="both"/>
        <w:rPr>
          <w:bCs/>
          <w:color w:val="000000"/>
          <w:shd w:val="clear" w:color="auto" w:fill="FFFFFF"/>
        </w:rPr>
      </w:pPr>
    </w:p>
    <w:p w:rsidR="00873201" w:rsidRDefault="00873201" w:rsidP="00811DB7">
      <w:pPr>
        <w:pStyle w:val="spar"/>
        <w:ind w:firstLine="417"/>
        <w:jc w:val="center"/>
        <w:rPr>
          <w:bCs/>
          <w:color w:val="000000"/>
          <w:shd w:val="clear" w:color="auto" w:fill="FFFFFF"/>
        </w:rPr>
      </w:pPr>
      <w:r w:rsidRPr="008F7716">
        <w:rPr>
          <w:bCs/>
          <w:color w:val="000000"/>
          <w:shd w:val="clear" w:color="auto" w:fill="FFFFFF"/>
        </w:rPr>
        <w:t>PROPUNEM:</w:t>
      </w:r>
    </w:p>
    <w:p w:rsidR="00811DB7" w:rsidRPr="008F7716" w:rsidRDefault="00811DB7" w:rsidP="00811DB7">
      <w:pPr>
        <w:pStyle w:val="spar"/>
        <w:ind w:firstLine="417"/>
        <w:jc w:val="center"/>
        <w:rPr>
          <w:bCs/>
          <w:color w:val="000000"/>
          <w:shd w:val="clear" w:color="auto" w:fill="FFFFFF"/>
        </w:rPr>
      </w:pPr>
    </w:p>
    <w:p w:rsidR="00873201" w:rsidRPr="008F7716" w:rsidRDefault="00873201" w:rsidP="00873201">
      <w:pPr>
        <w:pStyle w:val="spar"/>
        <w:numPr>
          <w:ilvl w:val="0"/>
          <w:numId w:val="6"/>
        </w:numPr>
        <w:rPr>
          <w:bCs/>
          <w:color w:val="000000"/>
          <w:shd w:val="clear" w:color="auto" w:fill="FFFFFF"/>
        </w:rPr>
      </w:pPr>
      <w:r w:rsidRPr="008F7716">
        <w:rPr>
          <w:bCs/>
          <w:color w:val="000000"/>
          <w:shd w:val="clear" w:color="auto" w:fill="FFFFFF"/>
        </w:rPr>
        <w:t>aprobarea derulării proiectului WELDI, finanțat prin Programul Interreg URBACT IV 2021-2027 al Comisiei Europene (fonduri FEDR);</w:t>
      </w:r>
    </w:p>
    <w:p w:rsidR="00873201" w:rsidRPr="008F7716" w:rsidRDefault="00873201" w:rsidP="00873201">
      <w:pPr>
        <w:pStyle w:val="spar"/>
        <w:numPr>
          <w:ilvl w:val="0"/>
          <w:numId w:val="6"/>
        </w:numPr>
        <w:rPr>
          <w:bCs/>
          <w:color w:val="000000"/>
          <w:shd w:val="clear" w:color="auto" w:fill="FFFFFF"/>
        </w:rPr>
      </w:pPr>
      <w:r w:rsidRPr="008F7716">
        <w:rPr>
          <w:bCs/>
          <w:color w:val="000000"/>
          <w:shd w:val="clear" w:color="auto" w:fill="FFFFFF"/>
        </w:rPr>
        <w:t>aprobarea valorii totale a bugetului propus pentru Direcția de Asistență Socială a Municipiului Timișoara, în sumă de 66450.00 € pentru implementarea proiectului WELDI, defalcat pe surse de finanțare, după cum urmează:</w:t>
      </w:r>
    </w:p>
    <w:p w:rsidR="00873201" w:rsidRPr="008F7716" w:rsidRDefault="00873201" w:rsidP="00873201">
      <w:pPr>
        <w:pStyle w:val="spar"/>
        <w:numPr>
          <w:ilvl w:val="1"/>
          <w:numId w:val="6"/>
        </w:numPr>
        <w:rPr>
          <w:bCs/>
          <w:color w:val="000000"/>
          <w:shd w:val="clear" w:color="auto" w:fill="FFFFFF"/>
        </w:rPr>
      </w:pPr>
      <w:r w:rsidRPr="008F7716">
        <w:rPr>
          <w:bCs/>
          <w:color w:val="000000"/>
          <w:shd w:val="clear" w:color="auto" w:fill="FFFFFF"/>
        </w:rPr>
        <w:lastRenderedPageBreak/>
        <w:t xml:space="preserve">Bugetul solicitat UE:  53160.00 €; </w:t>
      </w:r>
    </w:p>
    <w:p w:rsidR="00873201" w:rsidRPr="008F7716" w:rsidRDefault="00873201" w:rsidP="00873201">
      <w:pPr>
        <w:pStyle w:val="spar"/>
        <w:numPr>
          <w:ilvl w:val="1"/>
          <w:numId w:val="6"/>
        </w:numPr>
        <w:rPr>
          <w:bCs/>
          <w:color w:val="000000"/>
          <w:shd w:val="clear" w:color="auto" w:fill="FFFFFF"/>
        </w:rPr>
      </w:pPr>
      <w:r w:rsidRPr="008F7716">
        <w:rPr>
          <w:bCs/>
          <w:color w:val="000000"/>
          <w:shd w:val="clear" w:color="auto" w:fill="FFFFFF"/>
        </w:rPr>
        <w:t xml:space="preserve">Contribuția de la Bugetul de stat: 11961.00 €; </w:t>
      </w:r>
    </w:p>
    <w:p w:rsidR="00873201" w:rsidRPr="008F7716" w:rsidRDefault="00873201" w:rsidP="00873201">
      <w:pPr>
        <w:pStyle w:val="spar"/>
        <w:numPr>
          <w:ilvl w:val="1"/>
          <w:numId w:val="6"/>
        </w:numPr>
        <w:rPr>
          <w:bCs/>
          <w:color w:val="000000"/>
          <w:shd w:val="clear" w:color="auto" w:fill="FFFFFF"/>
        </w:rPr>
      </w:pPr>
      <w:r w:rsidRPr="008F7716">
        <w:rPr>
          <w:bCs/>
          <w:color w:val="000000"/>
          <w:shd w:val="clear" w:color="auto" w:fill="FFFFFF"/>
        </w:rPr>
        <w:t>Contribuție proprie beneficiar, din bugetul local al Municipiului Timișoara: 1329.00 €.</w:t>
      </w:r>
    </w:p>
    <w:p w:rsidR="00873201" w:rsidRPr="008F7716" w:rsidRDefault="00873201" w:rsidP="00873201">
      <w:pPr>
        <w:pStyle w:val="spar"/>
        <w:numPr>
          <w:ilvl w:val="0"/>
          <w:numId w:val="7"/>
        </w:numPr>
        <w:jc w:val="both"/>
        <w:rPr>
          <w:bCs/>
          <w:color w:val="000000"/>
          <w:shd w:val="clear" w:color="auto" w:fill="FFFFFF"/>
        </w:rPr>
      </w:pPr>
      <w:r w:rsidRPr="008F7716">
        <w:rPr>
          <w:bCs/>
          <w:color w:val="000000"/>
          <w:shd w:val="clear" w:color="auto" w:fill="FFFFFF"/>
        </w:rPr>
        <w:t>aprobarea valorii totale a bugetului propus pentru Direcția de Asistență Socială a Municipiului</w:t>
      </w:r>
      <w:r>
        <w:rPr>
          <w:bCs/>
          <w:color w:val="000000"/>
          <w:shd w:val="clear" w:color="auto" w:fill="FFFFFF"/>
        </w:rPr>
        <w:t xml:space="preserve"> </w:t>
      </w:r>
      <w:r w:rsidRPr="008F7716">
        <w:rPr>
          <w:bCs/>
          <w:color w:val="000000"/>
          <w:shd w:val="clear" w:color="auto" w:fill="FFFFFF"/>
        </w:rPr>
        <w:t>Timișoara, în sumă de 66450.00 € pentru implementarea proiectului WELDI, defalcat pe ani, după cum urmează:</w:t>
      </w:r>
    </w:p>
    <w:p w:rsidR="00873201" w:rsidRPr="008F7716" w:rsidRDefault="00873201" w:rsidP="00873201">
      <w:pPr>
        <w:pStyle w:val="spar"/>
        <w:numPr>
          <w:ilvl w:val="1"/>
          <w:numId w:val="7"/>
        </w:numPr>
        <w:jc w:val="both"/>
        <w:rPr>
          <w:bCs/>
          <w:color w:val="000000"/>
          <w:shd w:val="clear" w:color="auto" w:fill="FFFFFF"/>
        </w:rPr>
      </w:pPr>
      <w:r w:rsidRPr="008F7716">
        <w:rPr>
          <w:bCs/>
          <w:color w:val="000000"/>
          <w:shd w:val="clear" w:color="auto" w:fill="FFFFFF"/>
        </w:rPr>
        <w:t>Pentru anul 2023 suma de 11462.50 €</w:t>
      </w:r>
    </w:p>
    <w:p w:rsidR="00873201" w:rsidRPr="008F7716" w:rsidRDefault="00873201" w:rsidP="00873201">
      <w:pPr>
        <w:pStyle w:val="spar"/>
        <w:numPr>
          <w:ilvl w:val="1"/>
          <w:numId w:val="7"/>
        </w:numPr>
        <w:jc w:val="both"/>
        <w:rPr>
          <w:bCs/>
          <w:color w:val="000000"/>
          <w:shd w:val="clear" w:color="auto" w:fill="FFFFFF"/>
        </w:rPr>
      </w:pPr>
      <w:r w:rsidRPr="008F7716">
        <w:rPr>
          <w:bCs/>
          <w:color w:val="000000"/>
          <w:shd w:val="clear" w:color="auto" w:fill="FFFFFF"/>
        </w:rPr>
        <w:t>Pentru anul 2024 suma de 26206.25€</w:t>
      </w:r>
    </w:p>
    <w:p w:rsidR="00873201" w:rsidRPr="008F7716" w:rsidRDefault="00873201" w:rsidP="00873201">
      <w:pPr>
        <w:pStyle w:val="spar"/>
        <w:numPr>
          <w:ilvl w:val="1"/>
          <w:numId w:val="7"/>
        </w:numPr>
        <w:jc w:val="both"/>
        <w:rPr>
          <w:bCs/>
          <w:color w:val="000000"/>
          <w:shd w:val="clear" w:color="auto" w:fill="FFFFFF"/>
        </w:rPr>
      </w:pPr>
      <w:r w:rsidRPr="008F7716">
        <w:rPr>
          <w:bCs/>
          <w:color w:val="000000"/>
          <w:shd w:val="clear" w:color="auto" w:fill="FFFFFF"/>
        </w:rPr>
        <w:t>Pentru anul 2025 suma de 28781.25 €</w:t>
      </w:r>
    </w:p>
    <w:p w:rsidR="00873201" w:rsidRPr="008F7716" w:rsidRDefault="00873201" w:rsidP="00873201">
      <w:pPr>
        <w:pStyle w:val="spar"/>
        <w:numPr>
          <w:ilvl w:val="0"/>
          <w:numId w:val="7"/>
        </w:numPr>
        <w:jc w:val="both"/>
        <w:rPr>
          <w:bCs/>
          <w:color w:val="000000"/>
          <w:shd w:val="clear" w:color="auto" w:fill="FFFFFF"/>
        </w:rPr>
      </w:pPr>
      <w:r w:rsidRPr="008F7716">
        <w:rPr>
          <w:bCs/>
          <w:color w:val="000000"/>
          <w:shd w:val="clear" w:color="auto" w:fill="FFFFFF"/>
        </w:rPr>
        <w:t>aprobarea alocării în bugetul local a sumei de 66450.00 € ce constituie cheltuieli eligibile, în cadrul proiectului WELDI precum și a cheltuielilor neeligibile sau conexe aferente acestui proiect care pot apărea pe parcursul implementării proiectului;</w:t>
      </w:r>
    </w:p>
    <w:p w:rsidR="00873201" w:rsidRDefault="00873201" w:rsidP="00873201">
      <w:pPr>
        <w:pStyle w:val="spar"/>
        <w:numPr>
          <w:ilvl w:val="0"/>
          <w:numId w:val="7"/>
        </w:numPr>
        <w:jc w:val="both"/>
        <w:rPr>
          <w:bCs/>
          <w:color w:val="000000"/>
          <w:shd w:val="clear" w:color="auto" w:fill="FFFFFF"/>
        </w:rPr>
      </w:pPr>
      <w:r w:rsidRPr="008F7716">
        <w:rPr>
          <w:bCs/>
          <w:color w:val="000000"/>
          <w:shd w:val="clear" w:color="auto" w:fill="FFFFFF"/>
        </w:rPr>
        <w:t>contribuția din bugetul UE și cofinanțarea națională se vor recupera conform prevederilor Legii nr. 231 din 19 iulie 2022 privind gestionarea și utilizarea fondurilor Interreg şi a contribuţiei publice naționale, pentru obiectivul "Cooperare teritorială europeană", în perioada 2021-2027, precum şi normele de punere în aplicare;</w:t>
      </w:r>
    </w:p>
    <w:p w:rsidR="000D7506" w:rsidRPr="001132A6" w:rsidRDefault="000D7506" w:rsidP="00873201">
      <w:pPr>
        <w:pStyle w:val="spar"/>
        <w:numPr>
          <w:ilvl w:val="0"/>
          <w:numId w:val="7"/>
        </w:numPr>
        <w:jc w:val="both"/>
        <w:rPr>
          <w:bCs/>
          <w:shd w:val="clear" w:color="auto" w:fill="FFFFFF"/>
        </w:rPr>
      </w:pPr>
      <w:r w:rsidRPr="001132A6">
        <w:t xml:space="preserve">Includerea în lista de investiții a Municipiului Timișoara în cadrul Programului de Dezvoltare - Proiecte cu Finanțare din Fonduri Externe Nerambursabile a proiectului </w:t>
      </w:r>
      <w:r w:rsidRPr="001132A6">
        <w:rPr>
          <w:shd w:val="clear" w:color="auto" w:fill="FFFFFF"/>
          <w:lang w:val="en-GB"/>
        </w:rPr>
        <w:t>Welcome and Empowerment for Local Dignified Integration</w:t>
      </w:r>
      <w:r w:rsidRPr="001132A6">
        <w:rPr>
          <w:shd w:val="clear" w:color="auto" w:fill="FFFFFF"/>
        </w:rPr>
        <w:t xml:space="preserve"> - WELDI, cofinanțat prin Programul de Cooperare URBACT IV al Uniunii Europene.</w:t>
      </w:r>
    </w:p>
    <w:p w:rsidR="00873201" w:rsidRPr="008F7716" w:rsidRDefault="00873201" w:rsidP="00873201">
      <w:pPr>
        <w:pStyle w:val="spar"/>
        <w:ind w:firstLine="417"/>
        <w:jc w:val="both"/>
        <w:rPr>
          <w:bCs/>
          <w:color w:val="000000"/>
          <w:shd w:val="clear" w:color="auto" w:fill="FFFFFF"/>
        </w:rPr>
      </w:pPr>
      <w:r w:rsidRPr="008F7716">
        <w:rPr>
          <w:bCs/>
          <w:color w:val="000000"/>
          <w:shd w:val="clear" w:color="auto" w:fill="FFFFFF"/>
        </w:rPr>
        <w:t xml:space="preserve">Având în vedere cele expuse în prezentul raport, apreciem că proiectul de hotărâre privind aprobarea derulării proiectului WELDI și a cheltuielilor aferente, îndeplinește condițiile pentru a fi supus dezbaterii și aprobării plenului consiliului local. </w:t>
      </w:r>
    </w:p>
    <w:p w:rsidR="00873201" w:rsidRDefault="00873201">
      <w:pPr>
        <w:pBdr>
          <w:top w:val="nil"/>
          <w:left w:val="nil"/>
          <w:bottom w:val="nil"/>
          <w:right w:val="nil"/>
          <w:between w:val="nil"/>
        </w:pBdr>
        <w:spacing w:line="240" w:lineRule="auto"/>
        <w:ind w:left="141" w:right="150"/>
        <w:rPr>
          <w:rFonts w:ascii="Times New Roman" w:eastAsia="Times New Roman" w:hAnsi="Times New Roman" w:cs="Times New Roman"/>
          <w:sz w:val="24"/>
          <w:szCs w:val="24"/>
        </w:rPr>
      </w:pPr>
    </w:p>
    <w:p w:rsidR="006529AA" w:rsidRPr="008F7716" w:rsidRDefault="006529AA" w:rsidP="006529AA">
      <w:pPr>
        <w:pStyle w:val="spar"/>
        <w:ind w:left="0"/>
        <w:rPr>
          <w:b/>
          <w:color w:val="000000"/>
          <w:sz w:val="22"/>
          <w:szCs w:val="22"/>
          <w:shd w:val="clear" w:color="auto" w:fill="FFFFFF"/>
        </w:rPr>
      </w:pPr>
      <w:r>
        <w:rPr>
          <w:b/>
          <w:color w:val="000000"/>
          <w:sz w:val="22"/>
          <w:szCs w:val="22"/>
          <w:shd w:val="clear" w:color="auto" w:fill="FFFFFF"/>
        </w:rPr>
        <w:t xml:space="preserve">    </w:t>
      </w:r>
      <w:r w:rsidRPr="008F7716">
        <w:rPr>
          <w:b/>
          <w:color w:val="000000"/>
          <w:sz w:val="22"/>
          <w:szCs w:val="22"/>
          <w:shd w:val="clear" w:color="auto" w:fill="FFFFFF"/>
        </w:rPr>
        <w:t>Director General</w:t>
      </w:r>
      <w:r w:rsidRPr="008F7716">
        <w:rPr>
          <w:b/>
          <w:color w:val="000000"/>
          <w:sz w:val="22"/>
          <w:szCs w:val="22"/>
          <w:shd w:val="clear" w:color="auto" w:fill="FFFFFF"/>
        </w:rPr>
        <w:tab/>
        <w:t xml:space="preserve">    </w:t>
      </w:r>
      <w:r>
        <w:rPr>
          <w:b/>
          <w:color w:val="000000"/>
          <w:sz w:val="22"/>
          <w:szCs w:val="22"/>
          <w:shd w:val="clear" w:color="auto" w:fill="FFFFFF"/>
        </w:rPr>
        <w:t xml:space="preserve">       </w:t>
      </w:r>
      <w:r w:rsidRPr="008F7716">
        <w:rPr>
          <w:b/>
          <w:color w:val="000000"/>
          <w:sz w:val="22"/>
          <w:szCs w:val="22"/>
          <w:shd w:val="clear" w:color="auto" w:fill="FFFFFF"/>
        </w:rPr>
        <w:t xml:space="preserve">Director general adjunct </w:t>
      </w:r>
      <w:r>
        <w:rPr>
          <w:b/>
          <w:color w:val="000000"/>
          <w:sz w:val="22"/>
          <w:szCs w:val="22"/>
          <w:shd w:val="clear" w:color="auto" w:fill="FFFFFF"/>
        </w:rPr>
        <w:t xml:space="preserve">            </w:t>
      </w:r>
      <w:r w:rsidRPr="008F7716">
        <w:rPr>
          <w:b/>
          <w:color w:val="000000"/>
          <w:sz w:val="22"/>
          <w:szCs w:val="22"/>
          <w:shd w:val="clear" w:color="auto" w:fill="FFFFFF"/>
        </w:rPr>
        <w:t>Șef Serviciu Dezvoltare</w:t>
      </w:r>
      <w:r w:rsidRPr="00E80A00">
        <w:rPr>
          <w:b/>
          <w:color w:val="000000"/>
          <w:sz w:val="22"/>
          <w:szCs w:val="22"/>
          <w:shd w:val="clear" w:color="auto" w:fill="FFFFFF"/>
        </w:rPr>
        <w:t xml:space="preserve"> </w:t>
      </w:r>
      <w:r w:rsidRPr="008F7716">
        <w:rPr>
          <w:b/>
          <w:color w:val="000000"/>
          <w:sz w:val="22"/>
          <w:szCs w:val="22"/>
          <w:shd w:val="clear" w:color="auto" w:fill="FFFFFF"/>
        </w:rPr>
        <w:t xml:space="preserve">Strategii Programe </w:t>
      </w:r>
    </w:p>
    <w:p w:rsidR="006529AA" w:rsidRPr="008F7716" w:rsidRDefault="006529AA" w:rsidP="006529AA">
      <w:pPr>
        <w:pStyle w:val="spar"/>
        <w:rPr>
          <w:b/>
          <w:color w:val="000000"/>
          <w:sz w:val="22"/>
          <w:szCs w:val="22"/>
          <w:shd w:val="clear" w:color="auto" w:fill="FFFFFF"/>
        </w:rPr>
      </w:pPr>
      <w:r w:rsidRPr="00E80A00">
        <w:rPr>
          <w:b/>
          <w:color w:val="000000"/>
          <w:sz w:val="22"/>
          <w:szCs w:val="22"/>
          <w:shd w:val="clear" w:color="auto" w:fill="FFFFFF"/>
        </w:rPr>
        <w:t xml:space="preserve">   </w:t>
      </w:r>
      <w:r w:rsidRPr="008F7716">
        <w:rPr>
          <w:b/>
          <w:color w:val="000000"/>
          <w:sz w:val="22"/>
          <w:szCs w:val="22"/>
          <w:shd w:val="clear" w:color="auto" w:fill="FFFFFF"/>
        </w:rPr>
        <w:t>Esztero Emese</w:t>
      </w:r>
      <w:r w:rsidRPr="008F7716">
        <w:rPr>
          <w:b/>
          <w:color w:val="000000"/>
          <w:sz w:val="22"/>
          <w:szCs w:val="22"/>
          <w:shd w:val="clear" w:color="auto" w:fill="FFFFFF"/>
        </w:rPr>
        <w:tab/>
      </w:r>
      <w:r>
        <w:rPr>
          <w:b/>
          <w:color w:val="000000"/>
          <w:sz w:val="22"/>
          <w:szCs w:val="22"/>
          <w:shd w:val="clear" w:color="auto" w:fill="FFFFFF"/>
        </w:rPr>
        <w:t xml:space="preserve">       </w:t>
      </w:r>
      <w:r w:rsidRPr="008F7716">
        <w:rPr>
          <w:b/>
          <w:color w:val="000000"/>
          <w:sz w:val="22"/>
          <w:szCs w:val="22"/>
          <w:shd w:val="clear" w:color="auto" w:fill="FFFFFF"/>
        </w:rPr>
        <w:t xml:space="preserve">Gheorghe Florin Voichescu  </w:t>
      </w:r>
      <w:r>
        <w:rPr>
          <w:b/>
          <w:color w:val="000000"/>
          <w:sz w:val="22"/>
          <w:szCs w:val="22"/>
          <w:shd w:val="clear" w:color="auto" w:fill="FFFFFF"/>
        </w:rPr>
        <w:t xml:space="preserve">                            </w:t>
      </w:r>
      <w:r w:rsidRPr="008F7716">
        <w:rPr>
          <w:b/>
          <w:color w:val="000000"/>
          <w:sz w:val="22"/>
          <w:szCs w:val="22"/>
          <w:shd w:val="clear" w:color="auto" w:fill="FFFFFF"/>
        </w:rPr>
        <w:t xml:space="preserve">Codruța Darida                                                                                                       </w:t>
      </w:r>
    </w:p>
    <w:p w:rsidR="006529AA" w:rsidRPr="008F7716" w:rsidRDefault="006529AA" w:rsidP="006529AA">
      <w:pPr>
        <w:pStyle w:val="spar"/>
        <w:ind w:firstLine="417"/>
        <w:rPr>
          <w:b/>
          <w:color w:val="000000"/>
          <w:sz w:val="22"/>
          <w:szCs w:val="22"/>
          <w:shd w:val="clear" w:color="auto" w:fill="FFFFFF"/>
        </w:rPr>
      </w:pPr>
      <w:r w:rsidRPr="008F7716">
        <w:rPr>
          <w:b/>
          <w:color w:val="000000"/>
          <w:sz w:val="22"/>
          <w:szCs w:val="22"/>
          <w:shd w:val="clear" w:color="auto" w:fill="FFFFFF"/>
        </w:rPr>
        <w:t xml:space="preserve">   </w:t>
      </w:r>
      <w:r w:rsidRPr="008F7716">
        <w:rPr>
          <w:b/>
          <w:color w:val="000000"/>
          <w:sz w:val="22"/>
          <w:szCs w:val="22"/>
          <w:shd w:val="clear" w:color="auto" w:fill="FFFFFF"/>
        </w:rPr>
        <w:tab/>
        <w:t xml:space="preserve">                                                                                                               </w:t>
      </w:r>
    </w:p>
    <w:p w:rsidR="006529AA" w:rsidRPr="008F7716" w:rsidRDefault="006529AA" w:rsidP="006529AA">
      <w:pPr>
        <w:pStyle w:val="spar"/>
        <w:ind w:firstLine="417"/>
        <w:rPr>
          <w:b/>
          <w:color w:val="000000"/>
          <w:sz w:val="22"/>
          <w:szCs w:val="22"/>
          <w:shd w:val="clear" w:color="auto" w:fill="FFFFFF"/>
        </w:rPr>
      </w:pPr>
    </w:p>
    <w:p w:rsidR="006529AA" w:rsidRPr="008F7716" w:rsidRDefault="006529AA" w:rsidP="006529AA">
      <w:pPr>
        <w:pStyle w:val="spar"/>
        <w:ind w:firstLine="417"/>
        <w:rPr>
          <w:b/>
          <w:color w:val="000000"/>
          <w:sz w:val="22"/>
          <w:szCs w:val="22"/>
          <w:shd w:val="clear" w:color="auto" w:fill="FFFFFF"/>
        </w:rPr>
      </w:pPr>
    </w:p>
    <w:p w:rsidR="006529AA" w:rsidRPr="008F7716" w:rsidRDefault="006529AA" w:rsidP="006529AA">
      <w:pPr>
        <w:pStyle w:val="spar"/>
        <w:ind w:firstLine="417"/>
        <w:rPr>
          <w:b/>
          <w:color w:val="000000"/>
          <w:sz w:val="22"/>
          <w:szCs w:val="22"/>
          <w:shd w:val="clear" w:color="auto" w:fill="FFFFFF"/>
        </w:rPr>
      </w:pPr>
    </w:p>
    <w:p w:rsidR="006529AA" w:rsidRDefault="006529AA" w:rsidP="006529AA">
      <w:pPr>
        <w:pStyle w:val="spar"/>
        <w:ind w:left="0"/>
        <w:rPr>
          <w:b/>
          <w:color w:val="000000"/>
          <w:sz w:val="22"/>
          <w:szCs w:val="22"/>
          <w:shd w:val="clear" w:color="auto" w:fill="FFFFFF"/>
        </w:rPr>
      </w:pPr>
      <w:r w:rsidRPr="008F7716">
        <w:rPr>
          <w:b/>
          <w:color w:val="000000"/>
          <w:sz w:val="22"/>
          <w:szCs w:val="22"/>
          <w:shd w:val="clear" w:color="auto" w:fill="FFFFFF"/>
        </w:rPr>
        <w:t xml:space="preserve">Serviciu Contabilitate-Financiar și CFP        </w:t>
      </w:r>
      <w:r>
        <w:rPr>
          <w:b/>
          <w:color w:val="000000"/>
          <w:sz w:val="22"/>
          <w:szCs w:val="22"/>
          <w:shd w:val="clear" w:color="auto" w:fill="FFFFFF"/>
        </w:rPr>
        <w:t xml:space="preserve">                   </w:t>
      </w:r>
      <w:r w:rsidRPr="008F7716">
        <w:rPr>
          <w:b/>
          <w:color w:val="000000"/>
          <w:sz w:val="22"/>
          <w:szCs w:val="22"/>
          <w:shd w:val="clear" w:color="auto" w:fill="FFFFFF"/>
        </w:rPr>
        <w:t xml:space="preserve">Șef </w:t>
      </w:r>
      <w:r>
        <w:rPr>
          <w:b/>
          <w:color w:val="000000"/>
          <w:sz w:val="22"/>
          <w:szCs w:val="22"/>
          <w:shd w:val="clear" w:color="auto" w:fill="FFFFFF"/>
        </w:rPr>
        <w:t>S</w:t>
      </w:r>
      <w:r w:rsidRPr="008F7716">
        <w:rPr>
          <w:b/>
          <w:color w:val="000000"/>
          <w:sz w:val="22"/>
          <w:szCs w:val="22"/>
          <w:shd w:val="clear" w:color="auto" w:fill="FFFFFF"/>
        </w:rPr>
        <w:t>erviciu</w:t>
      </w:r>
      <w:r>
        <w:rPr>
          <w:b/>
          <w:color w:val="000000"/>
          <w:sz w:val="22"/>
          <w:szCs w:val="22"/>
          <w:shd w:val="clear" w:color="auto" w:fill="FFFFFF"/>
        </w:rPr>
        <w:t xml:space="preserve"> Reziliență și Mobilizare Comunitară</w:t>
      </w:r>
      <w:r w:rsidRPr="008F7716">
        <w:rPr>
          <w:b/>
          <w:color w:val="000000"/>
          <w:sz w:val="22"/>
          <w:szCs w:val="22"/>
          <w:shd w:val="clear" w:color="auto" w:fill="FFFFFF"/>
        </w:rPr>
        <w:t xml:space="preserve">              </w:t>
      </w:r>
      <w:r w:rsidRPr="008F7716">
        <w:rPr>
          <w:b/>
          <w:color w:val="000000"/>
          <w:sz w:val="22"/>
          <w:szCs w:val="22"/>
          <w:shd w:val="clear" w:color="auto" w:fill="FFFFFF"/>
        </w:rPr>
        <w:tab/>
        <w:t xml:space="preserve">   Dana Bădău</w:t>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sidRPr="008F7716">
        <w:rPr>
          <w:b/>
          <w:color w:val="000000"/>
          <w:sz w:val="22"/>
          <w:szCs w:val="22"/>
          <w:shd w:val="clear" w:color="auto" w:fill="FFFFFF"/>
        </w:rPr>
        <w:t>Angela Ciupa-Rad</w:t>
      </w:r>
    </w:p>
    <w:p w:rsidR="006529AA" w:rsidRDefault="006529AA" w:rsidP="006529AA">
      <w:pPr>
        <w:pStyle w:val="spar"/>
        <w:ind w:left="0"/>
        <w:rPr>
          <w:b/>
          <w:color w:val="000000"/>
          <w:sz w:val="22"/>
          <w:szCs w:val="22"/>
          <w:shd w:val="clear" w:color="auto" w:fill="FFFFFF"/>
        </w:rPr>
      </w:pPr>
    </w:p>
    <w:p w:rsidR="006529AA" w:rsidRDefault="006529AA" w:rsidP="006529AA">
      <w:pPr>
        <w:pStyle w:val="spar"/>
        <w:ind w:left="0"/>
        <w:rPr>
          <w:b/>
          <w:color w:val="000000"/>
          <w:sz w:val="22"/>
          <w:szCs w:val="22"/>
          <w:shd w:val="clear" w:color="auto" w:fill="FFFFFF"/>
        </w:rPr>
      </w:pPr>
    </w:p>
    <w:p w:rsidR="006529AA" w:rsidRPr="008F7716" w:rsidRDefault="006529AA" w:rsidP="006529AA">
      <w:pPr>
        <w:pStyle w:val="spar"/>
        <w:ind w:left="0"/>
        <w:jc w:val="both"/>
        <w:rPr>
          <w:b/>
          <w:color w:val="000000"/>
          <w:sz w:val="22"/>
          <w:szCs w:val="22"/>
          <w:shd w:val="clear" w:color="auto" w:fill="FFFFFF"/>
        </w:rPr>
      </w:pPr>
      <w:r w:rsidRPr="008F7716">
        <w:rPr>
          <w:b/>
          <w:color w:val="000000"/>
          <w:sz w:val="22"/>
          <w:szCs w:val="22"/>
          <w:shd w:val="clear" w:color="auto" w:fill="FFFFFF"/>
        </w:rPr>
        <w:t xml:space="preserve"> </w:t>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Pr>
          <w:b/>
          <w:color w:val="000000"/>
          <w:sz w:val="22"/>
          <w:szCs w:val="22"/>
          <w:shd w:val="clear" w:color="auto" w:fill="FFFFFF"/>
        </w:rPr>
        <w:tab/>
      </w:r>
      <w:r w:rsidRPr="008F7716">
        <w:rPr>
          <w:b/>
          <w:color w:val="000000"/>
          <w:sz w:val="22"/>
          <w:szCs w:val="22"/>
          <w:shd w:val="clear" w:color="auto" w:fill="FFFFFF"/>
        </w:rPr>
        <w:t xml:space="preserve"> Întocmit,</w:t>
      </w:r>
      <w:r w:rsidRPr="008F7716">
        <w:rPr>
          <w:b/>
          <w:color w:val="000000"/>
          <w:sz w:val="22"/>
          <w:szCs w:val="22"/>
          <w:shd w:val="clear" w:color="auto" w:fill="FFFFFF"/>
        </w:rPr>
        <w:tab/>
      </w:r>
      <w:r w:rsidRPr="008F7716">
        <w:rPr>
          <w:b/>
          <w:color w:val="000000"/>
          <w:sz w:val="22"/>
          <w:szCs w:val="22"/>
          <w:shd w:val="clear" w:color="auto" w:fill="FFFFFF"/>
        </w:rPr>
        <w:tab/>
      </w:r>
      <w:r w:rsidRPr="008F7716">
        <w:rPr>
          <w:b/>
          <w:color w:val="000000"/>
          <w:sz w:val="22"/>
          <w:szCs w:val="22"/>
          <w:shd w:val="clear" w:color="auto" w:fill="FFFFFF"/>
        </w:rPr>
        <w:tab/>
        <w:t xml:space="preserve">         </w:t>
      </w:r>
      <w:r w:rsidRPr="008F7716">
        <w:rPr>
          <w:b/>
          <w:color w:val="000000"/>
          <w:sz w:val="22"/>
          <w:szCs w:val="22"/>
          <w:shd w:val="clear" w:color="auto" w:fill="FFFFFF"/>
        </w:rPr>
        <w:tab/>
      </w:r>
      <w:r w:rsidRPr="008F7716">
        <w:rPr>
          <w:b/>
          <w:color w:val="000000"/>
          <w:sz w:val="22"/>
          <w:szCs w:val="22"/>
          <w:shd w:val="clear" w:color="auto" w:fill="FFFFFF"/>
        </w:rPr>
        <w:tab/>
        <w:t xml:space="preserve">                                        </w:t>
      </w:r>
      <w:r>
        <w:rPr>
          <w:b/>
          <w:color w:val="000000"/>
          <w:sz w:val="22"/>
          <w:szCs w:val="22"/>
          <w:shd w:val="clear" w:color="auto" w:fill="FFFFFF"/>
        </w:rPr>
        <w:t xml:space="preserve">                              </w:t>
      </w:r>
      <w:r w:rsidRPr="008F7716">
        <w:rPr>
          <w:b/>
          <w:color w:val="000000"/>
          <w:sz w:val="22"/>
          <w:szCs w:val="22"/>
          <w:shd w:val="clear" w:color="auto" w:fill="FFFFFF"/>
        </w:rPr>
        <w:t xml:space="preserve">Consilier gr. </w:t>
      </w:r>
      <w:r w:rsidR="002A18A5">
        <w:rPr>
          <w:b/>
          <w:color w:val="000000"/>
          <w:sz w:val="22"/>
          <w:szCs w:val="22"/>
          <w:shd w:val="clear" w:color="auto" w:fill="FFFFFF"/>
        </w:rPr>
        <w:t>p</w:t>
      </w:r>
      <w:r w:rsidRPr="008F7716">
        <w:rPr>
          <w:b/>
          <w:color w:val="000000"/>
          <w:sz w:val="22"/>
          <w:szCs w:val="22"/>
          <w:shd w:val="clear" w:color="auto" w:fill="FFFFFF"/>
        </w:rPr>
        <w:t>rincipal</w:t>
      </w:r>
    </w:p>
    <w:p w:rsidR="006529AA" w:rsidRPr="008F7716" w:rsidRDefault="006529AA" w:rsidP="006529AA">
      <w:pPr>
        <w:pStyle w:val="spar"/>
        <w:ind w:firstLine="417"/>
        <w:rPr>
          <w:b/>
          <w:color w:val="000000"/>
          <w:sz w:val="22"/>
          <w:szCs w:val="22"/>
          <w:shd w:val="clear" w:color="auto" w:fill="FFFFFF"/>
        </w:rPr>
      </w:pPr>
      <w:r>
        <w:rPr>
          <w:b/>
          <w:color w:val="000000"/>
          <w:sz w:val="22"/>
          <w:szCs w:val="22"/>
          <w:shd w:val="clear" w:color="auto" w:fill="FFFFFF"/>
        </w:rPr>
        <w:t xml:space="preserve">                                                                                                             </w:t>
      </w:r>
      <w:r w:rsidRPr="008F7716">
        <w:rPr>
          <w:b/>
          <w:color w:val="000000"/>
          <w:sz w:val="22"/>
          <w:szCs w:val="22"/>
          <w:shd w:val="clear" w:color="auto" w:fill="FFFFFF"/>
        </w:rPr>
        <w:t>Reghiș Alexandra-Georgiana</w:t>
      </w:r>
    </w:p>
    <w:p w:rsidR="006529AA" w:rsidRPr="008F7716" w:rsidRDefault="006529AA" w:rsidP="006529AA">
      <w:pPr>
        <w:pStyle w:val="spar"/>
        <w:ind w:firstLine="417"/>
        <w:rPr>
          <w:b/>
          <w:color w:val="000000"/>
          <w:sz w:val="22"/>
          <w:szCs w:val="22"/>
          <w:shd w:val="clear" w:color="auto" w:fill="FFFFFF"/>
        </w:rPr>
      </w:pPr>
    </w:p>
    <w:p w:rsidR="006529AA" w:rsidRPr="008F7716" w:rsidRDefault="006529AA" w:rsidP="006529AA">
      <w:pPr>
        <w:pStyle w:val="spar"/>
        <w:ind w:firstLine="417"/>
        <w:rPr>
          <w:b/>
          <w:bCs/>
          <w:color w:val="000000"/>
          <w:sz w:val="22"/>
          <w:szCs w:val="22"/>
          <w:shd w:val="clear" w:color="auto" w:fill="FFFFFF"/>
        </w:rPr>
      </w:pPr>
    </w:p>
    <w:p w:rsidR="006529AA" w:rsidRPr="00E80A00" w:rsidRDefault="006529AA" w:rsidP="006529AA">
      <w:pPr>
        <w:pStyle w:val="spar"/>
        <w:ind w:firstLine="417"/>
        <w:jc w:val="both"/>
        <w:rPr>
          <w:color w:val="000000"/>
          <w:sz w:val="22"/>
          <w:szCs w:val="22"/>
          <w:shd w:val="clear" w:color="auto" w:fill="FFFFFF"/>
        </w:rPr>
      </w:pPr>
    </w:p>
    <w:p w:rsidR="006529AA" w:rsidRDefault="006529AA" w:rsidP="006529AA">
      <w:pPr>
        <w:pStyle w:val="spar"/>
        <w:jc w:val="both"/>
        <w:rPr>
          <w:rStyle w:val="slitbdy"/>
        </w:rPr>
      </w:pPr>
    </w:p>
    <w:p w:rsidR="006529AA" w:rsidRDefault="006529AA" w:rsidP="006529AA">
      <w:pPr>
        <w:pStyle w:val="spar"/>
        <w:jc w:val="both"/>
        <w:rPr>
          <w:rStyle w:val="slitbdy"/>
        </w:rPr>
      </w:pPr>
    </w:p>
    <w:p w:rsidR="006529AA" w:rsidRDefault="006529AA">
      <w:pPr>
        <w:pBdr>
          <w:top w:val="nil"/>
          <w:left w:val="nil"/>
          <w:bottom w:val="nil"/>
          <w:right w:val="nil"/>
          <w:between w:val="nil"/>
        </w:pBdr>
        <w:spacing w:line="240" w:lineRule="auto"/>
        <w:ind w:left="141" w:right="150"/>
        <w:rPr>
          <w:rFonts w:ascii="Times New Roman" w:eastAsia="Times New Roman" w:hAnsi="Times New Roman" w:cs="Times New Roman"/>
          <w:sz w:val="24"/>
          <w:szCs w:val="24"/>
        </w:rPr>
      </w:pPr>
    </w:p>
    <w:p w:rsidR="002328E8" w:rsidRDefault="00CF0DB8">
      <w:pPr>
        <w:spacing w:line="240" w:lineRule="auto"/>
        <w:ind w:right="150"/>
        <w:rPr>
          <w:rFonts w:ascii="Times New Roman" w:eastAsia="Times New Roman" w:hAnsi="Times New Roman" w:cs="Times New Roman"/>
          <w:b/>
          <w:sz w:val="24"/>
          <w:szCs w:val="24"/>
        </w:rPr>
      </w:pPr>
      <w:bookmarkStart w:id="2" w:name="_heading=h.sq6zf96d262y" w:colFirst="0" w:colLast="0"/>
      <w:bookmarkEnd w:id="2"/>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p>
    <w:sectPr w:rsidR="002328E8" w:rsidSect="002328E8">
      <w:headerReference w:type="default" r:id="rId8"/>
      <w:footerReference w:type="default" r:id="rId9"/>
      <w:pgSz w:w="11906" w:h="16838"/>
      <w:pgMar w:top="1168" w:right="991" w:bottom="0" w:left="993" w:header="425" w:footer="39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EDC" w:rsidRDefault="004D3EDC" w:rsidP="002328E8">
      <w:pPr>
        <w:spacing w:after="0" w:line="240" w:lineRule="auto"/>
      </w:pPr>
      <w:r>
        <w:separator/>
      </w:r>
    </w:p>
  </w:endnote>
  <w:endnote w:type="continuationSeparator" w:id="1">
    <w:p w:rsidR="004D3EDC" w:rsidRDefault="004D3EDC" w:rsidP="002328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PF Square Sans Pro Medium">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8E8" w:rsidRDefault="00CF0DB8">
    <w:pPr>
      <w:pBdr>
        <w:top w:val="nil"/>
        <w:left w:val="nil"/>
        <w:bottom w:val="nil"/>
        <w:right w:val="nil"/>
        <w:between w:val="nil"/>
      </w:pBdr>
      <w:spacing w:after="0" w:line="240" w:lineRule="auto"/>
      <w:ind w:left="-142"/>
      <w:jc w:val="center"/>
      <w:rPr>
        <w:rFonts w:ascii="Times New Roman" w:eastAsia="Times New Roman" w:hAnsi="Times New Roman" w:cs="Times New Roman"/>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101600</wp:posOffset>
            </wp:positionH>
            <wp:positionV relativeFrom="paragraph">
              <wp:posOffset>12700</wp:posOffset>
            </wp:positionV>
            <wp:extent cx="6315075" cy="974090"/>
            <wp:effectExtent b="0" l="0" r="0" t="0"/>
            <wp:wrapNone/>
            <wp:docPr id="21" name=""/>
            <a:graphic>
              <a:graphicData uri="http://schemas.microsoft.com/office/word/2010/wordprocessingShape">
                <wps:wsp>
                  <wps:cNvSpPr/>
                  <wps:cNvPr id="2" name="Shape 2"/>
                  <wps:spPr>
                    <a:xfrm>
                      <a:off x="2193225" y="3297718"/>
                      <a:ext cx="6305550" cy="964565"/>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0" distR="0" simplePos="0" relativeHeight="251661312" behindDoc="1" locked="0" layoutInCell="1" allowOverlap="1">
              <wp:simplePos x="0" y="0"/>
              <wp:positionH relativeFrom="column">
                <wp:posOffset>101600</wp:posOffset>
              </wp:positionH>
              <wp:positionV relativeFrom="paragraph">
                <wp:posOffset>12700</wp:posOffset>
              </wp:positionV>
              <wp:extent cx="6315075" cy="974090"/>
              <wp:effectExtent l="0" t="0" r="0" b="0"/>
              <wp:wrapNone/>
              <wp:docPr id="2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315075" cy="974090"/>
                      </a:xfrm>
                      <a:prstGeom prst="rect">
                        <a:avLst/>
                      </a:prstGeom>
                      <a:ln/>
                    </pic:spPr>
                  </pic:pic>
                </a:graphicData>
              </a:graphic>
            </wp:anchor>
          </w:drawing>
        </w:r>
      </ve:Fallback>
    </ve:AlternateContent>
  </w:p>
  <w:p w:rsidR="002328E8" w:rsidRDefault="00CF0DB8">
    <w:pPr>
      <w:pBdr>
        <w:top w:val="nil"/>
        <w:left w:val="nil"/>
        <w:bottom w:val="nil"/>
        <w:right w:val="nil"/>
        <w:between w:val="nil"/>
      </w:pBdr>
      <w:tabs>
        <w:tab w:val="left" w:pos="360"/>
        <w:tab w:val="center" w:pos="5244"/>
      </w:tabs>
      <w:spacing w:after="0" w:line="240" w:lineRule="auto"/>
      <w:ind w:left="-142"/>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*Sediu administrativ: Str. Ioan Plavosin Nr. 21 Tel: 0356/416050 Fax: 0356/416049 </w:t>
    </w:r>
  </w:p>
  <w:p w:rsidR="002328E8" w:rsidRDefault="00CF0DB8">
    <w:pPr>
      <w:pBdr>
        <w:top w:val="nil"/>
        <w:left w:val="nil"/>
        <w:bottom w:val="nil"/>
        <w:right w:val="nil"/>
        <w:between w:val="nil"/>
      </w:pBdr>
      <w:spacing w:after="0" w:line="240" w:lineRule="auto"/>
      <w:ind w:left="-142"/>
      <w:jc w:val="center"/>
      <w:rPr>
        <w:color w:val="000000"/>
      </w:rPr>
    </w:pPr>
    <w:r>
      <w:rPr>
        <w:rFonts w:ascii="Times New Roman" w:eastAsia="Times New Roman" w:hAnsi="Times New Roman" w:cs="Times New Roman"/>
        <w:color w:val="000000"/>
      </w:rPr>
      <w:t>Sediu social: Bulevardul Regele Carol I, nr.10 Tel/fax 0256/220583</w:t>
    </w:r>
  </w:p>
  <w:p w:rsidR="002328E8" w:rsidRDefault="00CF0DB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e-mail: </w:t>
    </w:r>
    <w:hyperlink r:id="rId2">
      <w:r>
        <w:rPr>
          <w:rFonts w:ascii="Times New Roman" w:eastAsia="Times New Roman" w:hAnsi="Times New Roman" w:cs="Times New Roman"/>
          <w:color w:val="0000FF"/>
          <w:u w:val="single"/>
        </w:rPr>
        <w:t>dastimisoara@gmail.com</w:t>
      </w:r>
    </w:hyperlink>
  </w:p>
  <w:p w:rsidR="002328E8" w:rsidRDefault="00CF0DB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extent cx="1022709" cy="305399"/>
          <wp:effectExtent l="0" t="0" r="0" b="0"/>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022709" cy="305399"/>
                  </a:xfrm>
                  <a:prstGeom prst="rect">
                    <a:avLst/>
                  </a:prstGeom>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EDC" w:rsidRDefault="004D3EDC" w:rsidP="002328E8">
      <w:pPr>
        <w:spacing w:after="0" w:line="240" w:lineRule="auto"/>
      </w:pPr>
      <w:r>
        <w:separator/>
      </w:r>
    </w:p>
  </w:footnote>
  <w:footnote w:type="continuationSeparator" w:id="1">
    <w:p w:rsidR="004D3EDC" w:rsidRDefault="004D3EDC" w:rsidP="002328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8E8" w:rsidRDefault="00CF0DB8">
    <w:pPr>
      <w:pBdr>
        <w:top w:val="nil"/>
        <w:left w:val="nil"/>
        <w:bottom w:val="nil"/>
        <w:right w:val="nil"/>
        <w:between w:val="nil"/>
      </w:pBdr>
      <w:spacing w:after="0" w:line="240" w:lineRule="auto"/>
      <w:ind w:left="-284"/>
      <w:jc w:val="center"/>
      <w:rPr>
        <w:rFonts w:ascii="Times New Roman" w:eastAsia="Times New Roman" w:hAnsi="Times New Roman" w:cs="Times New Roman"/>
        <w:color w:val="000000"/>
        <w:sz w:val="24"/>
        <w:szCs w:val="24"/>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Requires="wpg">
        <w:drawing>
          <wp:anchor allowOverlap="1" behindDoc="1" distB="0" distT="0" distL="0" distR="0" hidden="0" layoutInCell="1" locked="0" relativeHeight="0" simplePos="0">
            <wp:simplePos x="0" y="0"/>
            <wp:positionH relativeFrom="column">
              <wp:posOffset>-88899</wp:posOffset>
            </wp:positionH>
            <wp:positionV relativeFrom="paragraph">
              <wp:posOffset>-76199</wp:posOffset>
            </wp:positionV>
            <wp:extent cx="6524625" cy="1210945"/>
            <wp:effectExtent b="0" l="0" r="0" t="0"/>
            <wp:wrapNone/>
            <wp:docPr id="22" name=""/>
            <a:graphic>
              <a:graphicData uri="http://schemas.microsoft.com/office/word/2010/wordprocessingShape">
                <wps:wsp>
                  <wps:cNvSpPr/>
                  <wps:cNvPr id="3" name="Shape 3"/>
                  <wps:spPr>
                    <a:xfrm>
                      <a:off x="2088450" y="3179290"/>
                      <a:ext cx="6515100" cy="1201420"/>
                    </a:xfrm>
                    <a:prstGeom prst="roundRect">
                      <a:avLst>
                        <a:gd fmla="val 16667" name="adj"/>
                      </a:avLst>
                    </a:prstGeom>
                    <a:solidFill>
                      <a:srgbClr val="FFFFFF"/>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ve:Fallback>
        <w:r>
          <w:rPr>
            <w:noProof/>
          </w:rPr>
          <w:drawing>
            <wp:anchor distT="0" distB="0" distL="0" distR="0" simplePos="0" relativeHeight="251658240" behindDoc="1" locked="0" layoutInCell="1" allowOverlap="1">
              <wp:simplePos x="0" y="0"/>
              <wp:positionH relativeFrom="column">
                <wp:posOffset>-88899</wp:posOffset>
              </wp:positionH>
              <wp:positionV relativeFrom="paragraph">
                <wp:posOffset>-76199</wp:posOffset>
              </wp:positionV>
              <wp:extent cx="6524625" cy="1210945"/>
              <wp:effectExtent l="0" t="0" r="0" b="0"/>
              <wp:wrapNone/>
              <wp:docPr id="2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6524625" cy="1210945"/>
                      </a:xfrm>
                      <a:prstGeom prst="rect">
                        <a:avLst/>
                      </a:prstGeom>
                      <a:ln/>
                    </pic:spPr>
                  </pic:pic>
                </a:graphicData>
              </a:graphic>
            </wp:anchor>
          </w:drawing>
        </w:r>
      </ve:Fallback>
    </ve:AlternateContent>
    <w:r>
      <w:rPr>
        <w:noProof/>
      </w:rPr>
      <w:drawing>
        <wp:anchor distT="0" distB="0" distL="0" distR="0" simplePos="0" relativeHeight="251659264" behindDoc="1" locked="0" layoutInCell="1" allowOverlap="1">
          <wp:simplePos x="0" y="0"/>
          <wp:positionH relativeFrom="column">
            <wp:posOffset>0</wp:posOffset>
          </wp:positionH>
          <wp:positionV relativeFrom="paragraph">
            <wp:posOffset>25400</wp:posOffset>
          </wp:positionV>
          <wp:extent cx="744440" cy="913547"/>
          <wp:effectExtent l="0" t="0" r="0" b="0"/>
          <wp:wrapNone/>
          <wp:docPr id="25" name="image2.png" descr="logo1"/>
          <wp:cNvGraphicFramePr/>
          <a:graphic xmlns:a="http://schemas.openxmlformats.org/drawingml/2006/main">
            <a:graphicData uri="http://schemas.openxmlformats.org/drawingml/2006/picture">
              <pic:pic xmlns:pic="http://schemas.openxmlformats.org/drawingml/2006/picture">
                <pic:nvPicPr>
                  <pic:cNvPr id="0" name="image2.png" descr="logo1"/>
                  <pic:cNvPicPr preferRelativeResize="0"/>
                </pic:nvPicPr>
                <pic:blipFill>
                  <a:blip r:embed="rId2"/>
                  <a:srcRect/>
                  <a:stretch>
                    <a:fillRect/>
                  </a:stretch>
                </pic:blipFill>
                <pic:spPr>
                  <a:xfrm>
                    <a:off x="0" y="0"/>
                    <a:ext cx="744440" cy="913547"/>
                  </a:xfrm>
                  <a:prstGeom prst="rect">
                    <a:avLst/>
                  </a:prstGeom>
                  <a:ln/>
                </pic:spPr>
              </pic:pic>
            </a:graphicData>
          </a:graphic>
        </wp:anchor>
      </w:drawing>
    </w:r>
  </w:p>
  <w:p w:rsidR="002328E8" w:rsidRDefault="00CF0DB8">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CONSILIUL LOCAL AL MUNICIPIULUI TIMIȘOARA</w:t>
    </w:r>
    <w:r>
      <w:rPr>
        <w:noProof/>
      </w:rPr>
      <w:drawing>
        <wp:anchor distT="0" distB="0" distL="0" distR="0" simplePos="0" relativeHeight="251660288" behindDoc="1" locked="0" layoutInCell="1" allowOverlap="1">
          <wp:simplePos x="0" y="0"/>
          <wp:positionH relativeFrom="column">
            <wp:posOffset>5708015</wp:posOffset>
          </wp:positionH>
          <wp:positionV relativeFrom="paragraph">
            <wp:posOffset>12065</wp:posOffset>
          </wp:positionV>
          <wp:extent cx="655320" cy="815340"/>
          <wp:effectExtent l="0" t="0" r="0" b="0"/>
          <wp:wrapNone/>
          <wp:docPr id="23" name="image3.png" descr="d:\Users\Dorian\Downloads\20049574_746531602192446_498538114_o.png"/>
          <wp:cNvGraphicFramePr/>
          <a:graphic xmlns:a="http://schemas.openxmlformats.org/drawingml/2006/main">
            <a:graphicData uri="http://schemas.openxmlformats.org/drawingml/2006/picture">
              <pic:pic xmlns:pic="http://schemas.openxmlformats.org/drawingml/2006/picture">
                <pic:nvPicPr>
                  <pic:cNvPr id="0" name="image3.png" descr="d:\Users\Dorian\Downloads\20049574_746531602192446_498538114_o.png"/>
                  <pic:cNvPicPr preferRelativeResize="0"/>
                </pic:nvPicPr>
                <pic:blipFill>
                  <a:blip r:embed="rId3"/>
                  <a:srcRect/>
                  <a:stretch>
                    <a:fillRect/>
                  </a:stretch>
                </pic:blipFill>
                <pic:spPr>
                  <a:xfrm>
                    <a:off x="0" y="0"/>
                    <a:ext cx="655320" cy="815340"/>
                  </a:xfrm>
                  <a:prstGeom prst="rect">
                    <a:avLst/>
                  </a:prstGeom>
                  <a:ln/>
                </pic:spPr>
              </pic:pic>
            </a:graphicData>
          </a:graphic>
        </wp:anchor>
      </w:drawing>
    </w:r>
  </w:p>
  <w:p w:rsidR="002328E8" w:rsidRDefault="002328E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p>
  <w:p w:rsidR="002328E8" w:rsidRDefault="00CF0DB8">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DIRECȚIA DE ASISTENȚĂ SOCIALĂ A MUNICIPIULUI TIMIȘOARA</w:t>
    </w:r>
  </w:p>
  <w:p w:rsidR="002328E8" w:rsidRDefault="00CF0DB8">
    <w:pPr>
      <w:pBdr>
        <w:top w:val="nil"/>
        <w:left w:val="nil"/>
        <w:bottom w:val="nil"/>
        <w:right w:val="nil"/>
        <w:between w:val="nil"/>
      </w:pBdr>
      <w:tabs>
        <w:tab w:val="left" w:pos="2595"/>
        <w:tab w:val="center" w:pos="5315"/>
      </w:tabs>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2328E8" w:rsidRDefault="00CF0DB8">
    <w:pPr>
      <w:pBdr>
        <w:top w:val="nil"/>
        <w:left w:val="nil"/>
        <w:bottom w:val="nil"/>
        <w:right w:val="nil"/>
        <w:between w:val="nil"/>
      </w:pBdr>
      <w:tabs>
        <w:tab w:val="left" w:pos="1035"/>
        <w:tab w:val="left" w:pos="4005"/>
        <w:tab w:val="center" w:pos="5315"/>
      </w:tabs>
      <w:spacing w:after="0" w:line="240" w:lineRule="auto"/>
      <w:jc w:val="center"/>
      <w:rPr>
        <w:rFonts w:ascii="Times New Roman" w:eastAsia="Times New Roman" w:hAnsi="Times New Roman" w:cs="Times New Roman"/>
        <w:i/>
        <w:color w:val="000000"/>
        <w:sz w:val="24"/>
        <w:szCs w:val="24"/>
        <w:vertAlign w:val="superscript"/>
      </w:rPr>
    </w:pPr>
    <w:r>
      <w:rPr>
        <w:rFonts w:ascii="Times New Roman" w:eastAsia="Times New Roman" w:hAnsi="Times New Roman" w:cs="Times New Roman"/>
        <w:i/>
        <w:color w:val="000000"/>
        <w:sz w:val="24"/>
        <w:szCs w:val="24"/>
      </w:rPr>
      <w:t>,,În slujba oamenilor</w:t>
    </w:r>
    <w:r>
      <w:rPr>
        <w:rFonts w:ascii="Times New Roman" w:eastAsia="Times New Roman" w:hAnsi="Times New Roman" w:cs="Times New Roman"/>
        <w:i/>
        <w:color w:val="000000"/>
        <w:sz w:val="24"/>
        <w:szCs w:val="24"/>
        <w:vertAlign w:val="superscript"/>
      </w:rPr>
      <w:t>”</w:t>
    </w:r>
  </w:p>
  <w:p w:rsidR="002328E8" w:rsidRDefault="002328E8">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738F"/>
    <w:multiLevelType w:val="multilevel"/>
    <w:tmpl w:val="FAB805E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A04654C"/>
    <w:multiLevelType w:val="hybridMultilevel"/>
    <w:tmpl w:val="AB5A3FBE"/>
    <w:lvl w:ilvl="0" w:tplc="771C0508">
      <w:numFmt w:val="bullet"/>
      <w:lvlText w:val="-"/>
      <w:lvlJc w:val="left"/>
      <w:pPr>
        <w:ind w:left="720" w:hanging="360"/>
      </w:pPr>
      <w:rPr>
        <w:rFonts w:ascii="Times New Roman" w:eastAsia="Times New Roman" w:hAnsi="Times New Roman" w:cs="Times New Roman"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92822"/>
    <w:multiLevelType w:val="multilevel"/>
    <w:tmpl w:val="B956C4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DE168BF"/>
    <w:multiLevelType w:val="hybridMultilevel"/>
    <w:tmpl w:val="6132370A"/>
    <w:lvl w:ilvl="0" w:tplc="771C0508">
      <w:numFmt w:val="bullet"/>
      <w:lvlText w:val="-"/>
      <w:lvlJc w:val="left"/>
      <w:pPr>
        <w:ind w:left="720" w:hanging="360"/>
      </w:pPr>
      <w:rPr>
        <w:rFonts w:ascii="Times New Roman" w:eastAsia="Times New Roman" w:hAnsi="Times New Roman" w:cs="Times New Roman"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DD2051"/>
    <w:multiLevelType w:val="hybridMultilevel"/>
    <w:tmpl w:val="DC32F74C"/>
    <w:lvl w:ilvl="0" w:tplc="04180003">
      <w:start w:val="1"/>
      <w:numFmt w:val="bullet"/>
      <w:lvlText w:val="o"/>
      <w:lvlJc w:val="left"/>
      <w:pPr>
        <w:ind w:left="2136" w:hanging="360"/>
      </w:pPr>
      <w:rPr>
        <w:rFonts w:ascii="Courier New" w:hAnsi="Courier New" w:cs="Courier New" w:hint="default"/>
      </w:rPr>
    </w:lvl>
    <w:lvl w:ilvl="1" w:tplc="04180003" w:tentative="1">
      <w:start w:val="1"/>
      <w:numFmt w:val="bullet"/>
      <w:lvlText w:val="o"/>
      <w:lvlJc w:val="left"/>
      <w:pPr>
        <w:ind w:left="2856" w:hanging="360"/>
      </w:pPr>
      <w:rPr>
        <w:rFonts w:ascii="Courier New" w:hAnsi="Courier New" w:cs="Courier New" w:hint="default"/>
      </w:rPr>
    </w:lvl>
    <w:lvl w:ilvl="2" w:tplc="04180005" w:tentative="1">
      <w:start w:val="1"/>
      <w:numFmt w:val="bullet"/>
      <w:lvlText w:val=""/>
      <w:lvlJc w:val="left"/>
      <w:pPr>
        <w:ind w:left="3576" w:hanging="360"/>
      </w:pPr>
      <w:rPr>
        <w:rFonts w:ascii="Wingdings" w:hAnsi="Wingdings" w:hint="default"/>
      </w:rPr>
    </w:lvl>
    <w:lvl w:ilvl="3" w:tplc="04180001" w:tentative="1">
      <w:start w:val="1"/>
      <w:numFmt w:val="bullet"/>
      <w:lvlText w:val=""/>
      <w:lvlJc w:val="left"/>
      <w:pPr>
        <w:ind w:left="4296" w:hanging="360"/>
      </w:pPr>
      <w:rPr>
        <w:rFonts w:ascii="Symbol" w:hAnsi="Symbol" w:hint="default"/>
      </w:rPr>
    </w:lvl>
    <w:lvl w:ilvl="4" w:tplc="04180003" w:tentative="1">
      <w:start w:val="1"/>
      <w:numFmt w:val="bullet"/>
      <w:lvlText w:val="o"/>
      <w:lvlJc w:val="left"/>
      <w:pPr>
        <w:ind w:left="5016" w:hanging="360"/>
      </w:pPr>
      <w:rPr>
        <w:rFonts w:ascii="Courier New" w:hAnsi="Courier New" w:cs="Courier New" w:hint="default"/>
      </w:rPr>
    </w:lvl>
    <w:lvl w:ilvl="5" w:tplc="04180005" w:tentative="1">
      <w:start w:val="1"/>
      <w:numFmt w:val="bullet"/>
      <w:lvlText w:val=""/>
      <w:lvlJc w:val="left"/>
      <w:pPr>
        <w:ind w:left="5736" w:hanging="360"/>
      </w:pPr>
      <w:rPr>
        <w:rFonts w:ascii="Wingdings" w:hAnsi="Wingdings" w:hint="default"/>
      </w:rPr>
    </w:lvl>
    <w:lvl w:ilvl="6" w:tplc="04180001" w:tentative="1">
      <w:start w:val="1"/>
      <w:numFmt w:val="bullet"/>
      <w:lvlText w:val=""/>
      <w:lvlJc w:val="left"/>
      <w:pPr>
        <w:ind w:left="6456" w:hanging="360"/>
      </w:pPr>
      <w:rPr>
        <w:rFonts w:ascii="Symbol" w:hAnsi="Symbol" w:hint="default"/>
      </w:rPr>
    </w:lvl>
    <w:lvl w:ilvl="7" w:tplc="04180003" w:tentative="1">
      <w:start w:val="1"/>
      <w:numFmt w:val="bullet"/>
      <w:lvlText w:val="o"/>
      <w:lvlJc w:val="left"/>
      <w:pPr>
        <w:ind w:left="7176" w:hanging="360"/>
      </w:pPr>
      <w:rPr>
        <w:rFonts w:ascii="Courier New" w:hAnsi="Courier New" w:cs="Courier New" w:hint="default"/>
      </w:rPr>
    </w:lvl>
    <w:lvl w:ilvl="8" w:tplc="04180005" w:tentative="1">
      <w:start w:val="1"/>
      <w:numFmt w:val="bullet"/>
      <w:lvlText w:val=""/>
      <w:lvlJc w:val="left"/>
      <w:pPr>
        <w:ind w:left="7896" w:hanging="360"/>
      </w:pPr>
      <w:rPr>
        <w:rFonts w:ascii="Wingdings" w:hAnsi="Wingdings" w:hint="default"/>
      </w:rPr>
    </w:lvl>
  </w:abstractNum>
  <w:abstractNum w:abstractNumId="5">
    <w:nsid w:val="3FBD6854"/>
    <w:multiLevelType w:val="hybridMultilevel"/>
    <w:tmpl w:val="35044180"/>
    <w:lvl w:ilvl="0" w:tplc="04180003">
      <w:start w:val="1"/>
      <w:numFmt w:val="bullet"/>
      <w:lvlText w:val="o"/>
      <w:lvlJc w:val="left"/>
      <w:pPr>
        <w:ind w:left="1685" w:hanging="360"/>
      </w:pPr>
      <w:rPr>
        <w:rFonts w:ascii="Courier New" w:hAnsi="Courier New" w:cs="Courier New" w:hint="default"/>
      </w:rPr>
    </w:lvl>
    <w:lvl w:ilvl="1" w:tplc="04180003" w:tentative="1">
      <w:start w:val="1"/>
      <w:numFmt w:val="bullet"/>
      <w:lvlText w:val="o"/>
      <w:lvlJc w:val="left"/>
      <w:pPr>
        <w:ind w:left="2405" w:hanging="360"/>
      </w:pPr>
      <w:rPr>
        <w:rFonts w:ascii="Courier New" w:hAnsi="Courier New" w:cs="Courier New" w:hint="default"/>
      </w:rPr>
    </w:lvl>
    <w:lvl w:ilvl="2" w:tplc="04180005" w:tentative="1">
      <w:start w:val="1"/>
      <w:numFmt w:val="bullet"/>
      <w:lvlText w:val=""/>
      <w:lvlJc w:val="left"/>
      <w:pPr>
        <w:ind w:left="3125" w:hanging="360"/>
      </w:pPr>
      <w:rPr>
        <w:rFonts w:ascii="Wingdings" w:hAnsi="Wingdings" w:hint="default"/>
      </w:rPr>
    </w:lvl>
    <w:lvl w:ilvl="3" w:tplc="04180001" w:tentative="1">
      <w:start w:val="1"/>
      <w:numFmt w:val="bullet"/>
      <w:lvlText w:val=""/>
      <w:lvlJc w:val="left"/>
      <w:pPr>
        <w:ind w:left="3845" w:hanging="360"/>
      </w:pPr>
      <w:rPr>
        <w:rFonts w:ascii="Symbol" w:hAnsi="Symbol" w:hint="default"/>
      </w:rPr>
    </w:lvl>
    <w:lvl w:ilvl="4" w:tplc="04180003" w:tentative="1">
      <w:start w:val="1"/>
      <w:numFmt w:val="bullet"/>
      <w:lvlText w:val="o"/>
      <w:lvlJc w:val="left"/>
      <w:pPr>
        <w:ind w:left="4565" w:hanging="360"/>
      </w:pPr>
      <w:rPr>
        <w:rFonts w:ascii="Courier New" w:hAnsi="Courier New" w:cs="Courier New" w:hint="default"/>
      </w:rPr>
    </w:lvl>
    <w:lvl w:ilvl="5" w:tplc="04180005" w:tentative="1">
      <w:start w:val="1"/>
      <w:numFmt w:val="bullet"/>
      <w:lvlText w:val=""/>
      <w:lvlJc w:val="left"/>
      <w:pPr>
        <w:ind w:left="5285" w:hanging="360"/>
      </w:pPr>
      <w:rPr>
        <w:rFonts w:ascii="Wingdings" w:hAnsi="Wingdings" w:hint="default"/>
      </w:rPr>
    </w:lvl>
    <w:lvl w:ilvl="6" w:tplc="04180001" w:tentative="1">
      <w:start w:val="1"/>
      <w:numFmt w:val="bullet"/>
      <w:lvlText w:val=""/>
      <w:lvlJc w:val="left"/>
      <w:pPr>
        <w:ind w:left="6005" w:hanging="360"/>
      </w:pPr>
      <w:rPr>
        <w:rFonts w:ascii="Symbol" w:hAnsi="Symbol" w:hint="default"/>
      </w:rPr>
    </w:lvl>
    <w:lvl w:ilvl="7" w:tplc="04180003" w:tentative="1">
      <w:start w:val="1"/>
      <w:numFmt w:val="bullet"/>
      <w:lvlText w:val="o"/>
      <w:lvlJc w:val="left"/>
      <w:pPr>
        <w:ind w:left="6725" w:hanging="360"/>
      </w:pPr>
      <w:rPr>
        <w:rFonts w:ascii="Courier New" w:hAnsi="Courier New" w:cs="Courier New" w:hint="default"/>
      </w:rPr>
    </w:lvl>
    <w:lvl w:ilvl="8" w:tplc="04180005" w:tentative="1">
      <w:start w:val="1"/>
      <w:numFmt w:val="bullet"/>
      <w:lvlText w:val=""/>
      <w:lvlJc w:val="left"/>
      <w:pPr>
        <w:ind w:left="7445" w:hanging="360"/>
      </w:pPr>
      <w:rPr>
        <w:rFonts w:ascii="Wingdings" w:hAnsi="Wingdings" w:hint="default"/>
      </w:rPr>
    </w:lvl>
  </w:abstractNum>
  <w:abstractNum w:abstractNumId="6">
    <w:nsid w:val="5CD34D3F"/>
    <w:multiLevelType w:val="hybridMultilevel"/>
    <w:tmpl w:val="F89066DC"/>
    <w:lvl w:ilvl="0" w:tplc="771C0508">
      <w:numFmt w:val="bullet"/>
      <w:lvlText w:val="-"/>
      <w:lvlJc w:val="left"/>
      <w:pPr>
        <w:ind w:left="965"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hyphenationZone w:val="425"/>
  <w:characterSpacingControl w:val="doNotCompress"/>
  <w:footnotePr>
    <w:footnote w:id="0"/>
    <w:footnote w:id="1"/>
  </w:footnotePr>
  <w:endnotePr>
    <w:endnote w:id="0"/>
    <w:endnote w:id="1"/>
  </w:endnotePr>
  <w:compat/>
  <w:rsids>
    <w:rsidRoot w:val="002328E8"/>
    <w:rsid w:val="000D7506"/>
    <w:rsid w:val="001132A6"/>
    <w:rsid w:val="00167926"/>
    <w:rsid w:val="002328E8"/>
    <w:rsid w:val="002A18A5"/>
    <w:rsid w:val="00454850"/>
    <w:rsid w:val="004D3EDC"/>
    <w:rsid w:val="00534FE3"/>
    <w:rsid w:val="006241E3"/>
    <w:rsid w:val="006529AA"/>
    <w:rsid w:val="007937CA"/>
    <w:rsid w:val="007D4EF1"/>
    <w:rsid w:val="00811DB7"/>
    <w:rsid w:val="00873201"/>
    <w:rsid w:val="00946F6B"/>
    <w:rsid w:val="00A778D9"/>
    <w:rsid w:val="00CF0DB8"/>
    <w:rsid w:val="00DB5B5E"/>
    <w:rsid w:val="00DD6F3E"/>
    <w:rsid w:val="00F431E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4C7"/>
    <w:rPr>
      <w:lang w:eastAsia="ro-RO"/>
    </w:rPr>
  </w:style>
  <w:style w:type="paragraph" w:styleId="Heading1">
    <w:name w:val="heading 1"/>
    <w:basedOn w:val="normal0"/>
    <w:next w:val="normal0"/>
    <w:rsid w:val="002328E8"/>
    <w:pPr>
      <w:keepNext/>
      <w:keepLines/>
      <w:spacing w:before="480" w:after="120"/>
      <w:outlineLvl w:val="0"/>
    </w:pPr>
    <w:rPr>
      <w:b/>
      <w:sz w:val="48"/>
      <w:szCs w:val="48"/>
    </w:rPr>
  </w:style>
  <w:style w:type="paragraph" w:styleId="Heading2">
    <w:name w:val="heading 2"/>
    <w:basedOn w:val="normal0"/>
    <w:next w:val="normal0"/>
    <w:rsid w:val="002328E8"/>
    <w:pPr>
      <w:keepNext/>
      <w:keepLines/>
      <w:spacing w:before="360" w:after="80"/>
      <w:outlineLvl w:val="1"/>
    </w:pPr>
    <w:rPr>
      <w:b/>
      <w:sz w:val="36"/>
      <w:szCs w:val="36"/>
    </w:rPr>
  </w:style>
  <w:style w:type="paragraph" w:styleId="Heading3">
    <w:name w:val="heading 3"/>
    <w:basedOn w:val="normal0"/>
    <w:next w:val="normal0"/>
    <w:rsid w:val="002328E8"/>
    <w:pPr>
      <w:keepNext/>
      <w:keepLines/>
      <w:spacing w:before="280" w:after="80"/>
      <w:outlineLvl w:val="2"/>
    </w:pPr>
    <w:rPr>
      <w:b/>
      <w:sz w:val="28"/>
      <w:szCs w:val="28"/>
    </w:rPr>
  </w:style>
  <w:style w:type="paragraph" w:styleId="Heading4">
    <w:name w:val="heading 4"/>
    <w:basedOn w:val="normal0"/>
    <w:next w:val="normal0"/>
    <w:rsid w:val="002328E8"/>
    <w:pPr>
      <w:keepNext/>
      <w:keepLines/>
      <w:spacing w:before="240" w:after="40"/>
      <w:outlineLvl w:val="3"/>
    </w:pPr>
    <w:rPr>
      <w:b/>
      <w:sz w:val="24"/>
      <w:szCs w:val="24"/>
    </w:rPr>
  </w:style>
  <w:style w:type="paragraph" w:styleId="Heading5">
    <w:name w:val="heading 5"/>
    <w:basedOn w:val="normal0"/>
    <w:next w:val="normal0"/>
    <w:rsid w:val="002328E8"/>
    <w:pPr>
      <w:keepNext/>
      <w:keepLines/>
      <w:spacing w:before="220" w:after="40"/>
      <w:outlineLvl w:val="4"/>
    </w:pPr>
    <w:rPr>
      <w:b/>
    </w:rPr>
  </w:style>
  <w:style w:type="paragraph" w:styleId="Heading6">
    <w:name w:val="heading 6"/>
    <w:basedOn w:val="normal0"/>
    <w:next w:val="normal0"/>
    <w:rsid w:val="002328E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328E8"/>
  </w:style>
  <w:style w:type="paragraph" w:styleId="Title">
    <w:name w:val="Title"/>
    <w:basedOn w:val="normal0"/>
    <w:next w:val="normal0"/>
    <w:rsid w:val="002328E8"/>
    <w:pPr>
      <w:keepNext/>
      <w:keepLines/>
      <w:spacing w:before="480" w:after="120"/>
    </w:pPr>
    <w:rPr>
      <w:b/>
      <w:sz w:val="72"/>
      <w:szCs w:val="72"/>
    </w:rPr>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1"/>
    <w:qFormat/>
    <w:rsid w:val="002A591E"/>
    <w:rPr>
      <w:lang w:eastAsia="ro-RO"/>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rsid w:val="002328E8"/>
    <w:pPr>
      <w:spacing w:after="60"/>
      <w:jc w:val="center"/>
    </w:pPr>
    <w:rPr>
      <w:rFonts w:ascii="Cambria" w:eastAsia="Cambria" w:hAnsi="Cambria" w:cs="Cambria"/>
      <w:sz w:val="24"/>
      <w:szCs w:val="24"/>
    </w:rPr>
  </w:style>
  <w:style w:type="character" w:customStyle="1" w:styleId="SubtitleChar">
    <w:name w:val="Subtitle Char"/>
    <w:link w:val="Subtitle"/>
    <w:rsid w:val="000D3AE8"/>
    <w:rPr>
      <w:rFonts w:ascii="Cambria" w:hAnsi="Cambria"/>
      <w:sz w:val="24"/>
      <w:szCs w:val="24"/>
      <w:lang w:val="en-US" w:eastAsia="en-US"/>
    </w:rPr>
  </w:style>
  <w:style w:type="character" w:customStyle="1" w:styleId="NoSpacingChar">
    <w:name w:val="No Spacing Char"/>
    <w:link w:val="NoSpacing"/>
    <w:uiPriority w:val="1"/>
    <w:locked/>
    <w:rsid w:val="00AB45BD"/>
    <w:rPr>
      <w:sz w:val="22"/>
      <w:szCs w:val="22"/>
      <w:lang w:val="ro-RO" w:eastAsia="ro-RO" w:bidi="ar-SA"/>
    </w:rPr>
  </w:style>
  <w:style w:type="paragraph" w:styleId="ListParagraph">
    <w:name w:val="List Paragraph"/>
    <w:aliases w:val="Akapit z listą BS,Outlines a.b.c.,List_Paragraph,Multilevel para_II,Akapit z lista BS,Normal bullet 2,List Paragraph1,Listă colorată - Accentuare 11,body 2,List Paragraph11,List Paragraph111"/>
    <w:basedOn w:val="Normal"/>
    <w:link w:val="ListParagraphChar"/>
    <w:uiPriority w:val="34"/>
    <w:qFormat/>
    <w:rsid w:val="00B15B4E"/>
    <w:pPr>
      <w:ind w:left="720"/>
      <w:contextualSpacing/>
    </w:pPr>
  </w:style>
  <w:style w:type="character" w:styleId="Strong">
    <w:name w:val="Strong"/>
    <w:uiPriority w:val="22"/>
    <w:qFormat/>
    <w:rsid w:val="00B15B4E"/>
    <w:rPr>
      <w:b/>
      <w:bCs/>
    </w:rPr>
  </w:style>
  <w:style w:type="character" w:customStyle="1" w:styleId="ListParagraphChar">
    <w:name w:val="List Paragraph Char"/>
    <w:aliases w:val="Akapit z listą BS Char,Outlines a.b.c. Char,List_Paragraph Char,Multilevel para_II Char,Akapit z lista BS Char,Normal bullet 2 Char,List Paragraph1 Char,Listă colorată - Accentuare 11 Char,body 2 Char,List Paragraph11 Char"/>
    <w:link w:val="ListParagraph"/>
    <w:uiPriority w:val="34"/>
    <w:locked/>
    <w:rsid w:val="00B15B4E"/>
    <w:rPr>
      <w:sz w:val="22"/>
      <w:szCs w:val="22"/>
      <w:lang w:val="ro-RO" w:eastAsia="ro-RO"/>
    </w:rPr>
  </w:style>
  <w:style w:type="character" w:customStyle="1" w:styleId="ln2talineat">
    <w:name w:val="ln2talineat"/>
    <w:basedOn w:val="DefaultParagraphFont"/>
    <w:rsid w:val="001B615A"/>
  </w:style>
  <w:style w:type="paragraph" w:customStyle="1" w:styleId="Default">
    <w:name w:val="Default"/>
    <w:rsid w:val="00B151AD"/>
    <w:pPr>
      <w:autoSpaceDE w:val="0"/>
      <w:autoSpaceDN w:val="0"/>
      <w:adjustRightInd w:val="0"/>
    </w:pPr>
    <w:rPr>
      <w:rFonts w:ascii="Times New Roman" w:hAnsi="Times New Roman"/>
      <w:color w:val="000000"/>
      <w:sz w:val="24"/>
      <w:szCs w:val="24"/>
    </w:rPr>
  </w:style>
  <w:style w:type="paragraph" w:customStyle="1" w:styleId="spar">
    <w:name w:val="s_par"/>
    <w:basedOn w:val="Normal"/>
    <w:rsid w:val="00B151AD"/>
    <w:pPr>
      <w:spacing w:after="0" w:line="240" w:lineRule="auto"/>
      <w:ind w:left="188"/>
    </w:pPr>
    <w:rPr>
      <w:rFonts w:ascii="Times New Roman" w:hAnsi="Times New Roman"/>
      <w:sz w:val="24"/>
      <w:szCs w:val="24"/>
    </w:rPr>
  </w:style>
  <w:style w:type="character" w:customStyle="1" w:styleId="textexposedshow">
    <w:name w:val="text_exposed_show"/>
    <w:basedOn w:val="DefaultParagraphFont"/>
    <w:rsid w:val="00F170F0"/>
  </w:style>
  <w:style w:type="paragraph" w:styleId="NormalWeb">
    <w:name w:val="Normal (Web)"/>
    <w:basedOn w:val="Normal"/>
    <w:uiPriority w:val="99"/>
    <w:unhideWhenUsed/>
    <w:rsid w:val="00AF21F9"/>
    <w:pPr>
      <w:spacing w:before="100" w:beforeAutospacing="1" w:after="100" w:afterAutospacing="1" w:line="240" w:lineRule="auto"/>
    </w:pPr>
    <w:rPr>
      <w:rFonts w:ascii="Times New Roman" w:hAnsi="Times New Roman"/>
      <w:sz w:val="24"/>
      <w:szCs w:val="24"/>
    </w:rPr>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iPriority w:val="99"/>
    <w:rsid w:val="00A71D67"/>
    <w:pPr>
      <w:suppressLineNumbers/>
      <w:suppressAutoHyphens/>
      <w:spacing w:after="0" w:line="100" w:lineRule="atLeast"/>
      <w:ind w:left="283" w:hanging="283"/>
    </w:pPr>
    <w:rPr>
      <w:rFonts w:ascii="PF Square Sans Pro Medium" w:hAnsi="PF Square Sans Pro Medium"/>
      <w:color w:val="000000"/>
      <w:sz w:val="20"/>
      <w:szCs w:val="20"/>
      <w:lang w:eastAsia="ar-SA"/>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basedOn w:val="DefaultParagraphFont"/>
    <w:link w:val="FootnoteText"/>
    <w:uiPriority w:val="99"/>
    <w:rsid w:val="00A71D67"/>
    <w:rPr>
      <w:rFonts w:ascii="PF Square Sans Pro Medium" w:hAnsi="PF Square Sans Pro Medium"/>
      <w:color w:val="000000"/>
      <w:lang w:eastAsia="ar-SA"/>
    </w:rPr>
  </w:style>
  <w:style w:type="character" w:customStyle="1" w:styleId="ui-column-title1">
    <w:name w:val="ui-column-title1"/>
    <w:basedOn w:val="DefaultParagraphFont"/>
    <w:rsid w:val="00A71D67"/>
  </w:style>
  <w:style w:type="character" w:styleId="SubtleEmphasis">
    <w:name w:val="Subtle Emphasis"/>
    <w:basedOn w:val="DefaultParagraphFont"/>
    <w:uiPriority w:val="19"/>
    <w:qFormat/>
    <w:rsid w:val="00704517"/>
    <w:rPr>
      <w:i/>
      <w:iCs/>
      <w:color w:val="808080"/>
    </w:rPr>
  </w:style>
  <w:style w:type="paragraph" w:styleId="HTMLPreformatted">
    <w:name w:val="HTML Preformatted"/>
    <w:basedOn w:val="Normal"/>
    <w:link w:val="HTMLPreformattedChar"/>
    <w:uiPriority w:val="99"/>
    <w:unhideWhenUsed/>
    <w:rsid w:val="00CA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A78E5"/>
    <w:rPr>
      <w:rFonts w:ascii="Courier New" w:hAnsi="Courier New" w:cs="Courier New"/>
      <w:lang w:val="ro-RO" w:eastAsia="ro-RO"/>
    </w:rPr>
  </w:style>
  <w:style w:type="character" w:customStyle="1" w:styleId="slitbdy">
    <w:name w:val="s_lit_bdy"/>
    <w:rsid w:val="005348F1"/>
  </w:style>
  <w:style w:type="character" w:customStyle="1" w:styleId="spctttl1">
    <w:name w:val="s_pct_ttl1"/>
    <w:rsid w:val="00F005D2"/>
    <w:rPr>
      <w:rFonts w:ascii="Verdana" w:hAnsi="Verdana" w:hint="default"/>
      <w:b/>
      <w:bCs/>
      <w:color w:val="8B0000"/>
      <w:sz w:val="20"/>
      <w:szCs w:val="20"/>
      <w:shd w:val="clear" w:color="auto" w:fill="FFFFFF"/>
    </w:rPr>
  </w:style>
  <w:style w:type="paragraph" w:customStyle="1" w:styleId="yiv3943979417ydp93e8d5b0msonormal">
    <w:name w:val="yiv3943979417ydp93e8d5b0msonormal"/>
    <w:basedOn w:val="Normal"/>
    <w:rsid w:val="00F005D2"/>
    <w:pPr>
      <w:spacing w:before="100" w:beforeAutospacing="1" w:after="100" w:afterAutospacing="1" w:line="240" w:lineRule="auto"/>
    </w:pPr>
    <w:rPr>
      <w:rFonts w:ascii="Times New Roman" w:hAnsi="Times New Roman"/>
      <w:sz w:val="24"/>
      <w:szCs w:val="24"/>
      <w:lang w:val="en-US" w:eastAsia="en-US"/>
    </w:rPr>
  </w:style>
  <w:style w:type="table" w:customStyle="1" w:styleId="a">
    <w:basedOn w:val="TableNormal"/>
    <w:rsid w:val="002328E8"/>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about:blank"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o88cEa1IkFqZ2zq3NSaatGtgg==">CgMxLjAyDmguc3E2emY5NmQyNjJ5MghoLmdqZGd4czIJaC4zMGowemxsOAByITFYc3BtdmtTQVlnYnQ2a3FZSGZnaUo3VGFWMmVzbzVjTA==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1399</Words>
  <Characters>8116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Muntiu-Marilena</cp:lastModifiedBy>
  <cp:revision>4</cp:revision>
  <dcterms:created xsi:type="dcterms:W3CDTF">2023-10-16T09:39:00Z</dcterms:created>
  <dcterms:modified xsi:type="dcterms:W3CDTF">2023-10-17T07:07:00Z</dcterms:modified>
</cp:coreProperties>
</file>