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7E" w:rsidRDefault="00996F7E" w:rsidP="00996F7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78"/>
        <w:gridCol w:w="2528"/>
      </w:tblGrid>
      <w:tr w:rsidR="00996F7E">
        <w:tc>
          <w:tcPr>
            <w:tcW w:w="3655" w:type="pct"/>
          </w:tcPr>
          <w:p w:rsidR="00996F7E" w:rsidRDefault="00996F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4" w:type="pct"/>
          </w:tcPr>
          <w:p w:rsidR="00996F7E" w:rsidRDefault="00996F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IOAN COJOCARI</w:t>
            </w:r>
          </w:p>
        </w:tc>
      </w:tr>
    </w:tbl>
    <w:p w:rsidR="00996F7E" w:rsidRDefault="00996F7E" w:rsidP="00996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modificărilor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legislative,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nr.SC2006-15414/31.07.2006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Având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în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Referatul</w:t>
      </w:r>
      <w:proofErr w:type="spellEnd"/>
      <w:r>
        <w:rPr>
          <w:rFonts w:ascii="Times New Roman" w:hAnsi="Times New Roman" w:cs="Times New Roman"/>
          <w:color w:val="000000"/>
        </w:rPr>
        <w:t xml:space="preserve"> nr.SC2015-31705/27.11.2015 al </w:t>
      </w:r>
      <w:proofErr w:type="spellStart"/>
      <w:r>
        <w:rPr>
          <w:rFonts w:ascii="Times New Roman" w:hAnsi="Times New Roman" w:cs="Times New Roman"/>
          <w:color w:val="000000"/>
        </w:rPr>
        <w:t>Primarului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Municipiului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Timişoara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domnul</w:t>
      </w:r>
      <w:proofErr w:type="spellEnd"/>
      <w:r>
        <w:rPr>
          <w:rFonts w:ascii="Times New Roman" w:hAnsi="Times New Roman" w:cs="Times New Roman"/>
          <w:color w:val="000000"/>
        </w:rPr>
        <w:t xml:space="preserve"> NICOLAE ROBU;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Având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în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avizele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Comisiei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studii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prognoze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economie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buget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finanţe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impozite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taxe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Comisiei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dezvoltare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urbanistică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amenajarea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teritoriului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patrimoniu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Comisiei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administrarea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domeniului</w:t>
      </w:r>
      <w:proofErr w:type="spellEnd"/>
      <w:r>
        <w:rPr>
          <w:rFonts w:ascii="Times New Roman" w:hAnsi="Times New Roman" w:cs="Times New Roman"/>
          <w:color w:val="000000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privat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servicii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comerţ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regii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autonome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societăţi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comerciale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Comisiei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administraţie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locală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juridică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ordine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publică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drepturile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omului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probleme</w:t>
      </w:r>
      <w:proofErr w:type="spellEnd"/>
      <w:r>
        <w:rPr>
          <w:rFonts w:ascii="Times New Roman" w:hAnsi="Times New Roman" w:cs="Times New Roman"/>
          <w:color w:val="000000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</w:rPr>
        <w:t>minorităţilor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şi</w:t>
      </w:r>
      <w:proofErr w:type="spellEnd"/>
      <w:r>
        <w:rPr>
          <w:rFonts w:ascii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</w:rPr>
        <w:t>Comisiei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cultură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localitatilor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nr.SC2006-15414/31.07.2006;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Nota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 control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SC2015-27897 din 22.10.2015,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nr.24252/10.12.2014 a SC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Ecologic Service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nr.RM2014-3261/11.12.2014;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nr.974/GNM-CJ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/06.04.2015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Gărzii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Mediu-Comisariatul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Comisariatul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nr.CDM2015-146/06.04.2015;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art.6 alin.2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nr.54/2012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picnic;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art.III, alin.2 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nr.99/2014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nr.101/2006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nr.101/2006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nr.51/2006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lit.d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.(6)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pct.14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art.45  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Art.1: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legislative,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nr.SC2006-15414/31.07.2006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SC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Ecologic Service SA,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Art.2: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mandatează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NICOLAE ROBU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nr.SC2006-15414/31.07.2006.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: 3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Prefectului-Judeţului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                             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4"/>
          <w:szCs w:val="24"/>
        </w:rPr>
        <w:t>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Control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Administrator Public;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-SC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Ecologic Service SA;</w:t>
      </w:r>
    </w:p>
    <w:p w:rsidR="00996F7E" w:rsidRDefault="00996F7E" w:rsidP="0099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-Mass- media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12"/>
        <w:gridCol w:w="4594"/>
      </w:tblGrid>
      <w:tr w:rsidR="00996F7E">
        <w:tc>
          <w:tcPr>
            <w:tcW w:w="2557" w:type="pct"/>
          </w:tcPr>
          <w:p w:rsidR="00996F7E" w:rsidRDefault="00996F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996F7E" w:rsidRDefault="00996F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42" w:type="pct"/>
          </w:tcPr>
          <w:p w:rsidR="00996F7E" w:rsidRDefault="00996F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F7271" w:rsidRDefault="008F7271"/>
    <w:sectPr w:rsidR="008F7271" w:rsidSect="008F72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96F7E"/>
    <w:rsid w:val="008F7271"/>
    <w:rsid w:val="0099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>PMT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2015-12-15T10:13:00Z</dcterms:created>
  <dcterms:modified xsi:type="dcterms:W3CDTF">2015-12-15T10:13:00Z</dcterms:modified>
</cp:coreProperties>
</file>