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FF1446">
        <w:rPr>
          <w:b/>
        </w:rPr>
        <w:t xml:space="preserve">DOMINIC FRITZ </w:t>
      </w:r>
      <w:r w:rsidR="00110281" w:rsidRPr="000A10FA">
        <w:t>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od Poș</w:t>
      </w:r>
      <w:r w:rsidR="00721B69" w:rsidRPr="00721B69">
        <w:rPr>
          <w:rFonts w:eastAsiaTheme="minorHAnsi"/>
          <w:color w:val="000000"/>
          <w:lang w:val="en-US" w:eastAsia="en-US"/>
        </w:rPr>
        <w:t xml:space="preserve">tal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>…………….., c</w:t>
      </w:r>
      <w:r w:rsidR="00721B69">
        <w:rPr>
          <w:rFonts w:eastAsiaTheme="minorHAnsi"/>
          <w:color w:val="000000"/>
          <w:lang w:val="en-US" w:eastAsia="en-US"/>
        </w:rPr>
        <w:t>ont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r w:rsidR="00721B69" w:rsidRPr="00721B69">
        <w:rPr>
          <w:rFonts w:eastAsiaTheme="minorHAnsi"/>
          <w:color w:val="000000"/>
          <w:lang w:val="en-US" w:eastAsia="en-US"/>
        </w:rPr>
        <w:t xml:space="preserve">deschis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oara, tel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721B69" w:rsidRPr="00721B69">
        <w:rPr>
          <w:rFonts w:eastAsiaTheme="minorHAnsi"/>
          <w:color w:val="000000"/>
          <w:lang w:val="en-US" w:eastAsia="en-US"/>
        </w:rPr>
        <w:t>tel mobil: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 reprezentant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</w:t>
      </w:r>
      <w:r w:rsidR="00CF0CE6">
        <w:t>sediul social.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CF0CE6" w:rsidRDefault="00CF0CE6" w:rsidP="00A17CE3">
      <w:pPr>
        <w:autoSpaceDE w:val="0"/>
        <w:autoSpaceDN w:val="0"/>
        <w:adjustRightInd w:val="0"/>
        <w:jc w:val="both"/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326AC8" w:rsidRDefault="00326AC8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lastRenderedPageBreak/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CA2E51">
        <w:t>lei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6F0D64" w:rsidRPr="000A10FA">
        <w:t>a</w:t>
      </w:r>
      <w:r w:rsidR="006F0D64">
        <w:t>ș</w:t>
      </w:r>
      <w:r w:rsidR="006F0D64" w:rsidRPr="000A10FA">
        <w:t>a cum a fost stabilit</w:t>
      </w:r>
      <w:r w:rsidR="006F0D64">
        <w:t>ă prin Hotărâ</w:t>
      </w:r>
      <w:r w:rsidR="006F0D64" w:rsidRPr="000A10FA">
        <w:t>rea Consiliului Local al Municipiului nr.</w:t>
      </w:r>
      <w:r w:rsidR="006F0D64">
        <w:t>______________</w:t>
      </w:r>
      <w:r w:rsidR="001B3478">
        <w:t xml:space="preserve">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6F0D64">
        <w:t xml:space="preserve"> </w:t>
      </w:r>
      <w:r w:rsidRPr="000A10FA">
        <w:t>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>iei, 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="00D16152">
        <w:t xml:space="preserve">ul chiriei calculat pentru </w:t>
      </w:r>
      <w:r w:rsidR="009C015C">
        <w:t>6</w:t>
      </w:r>
      <w:r w:rsidR="00D16152">
        <w:t xml:space="preserve"> </w:t>
      </w:r>
      <w:r w:rsidRPr="000A10FA">
        <w:t>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hyperlink r:id="rId8" w:history="1">
        <w:r w:rsidR="00110281" w:rsidRPr="000A10FA">
          <w:rPr>
            <w:rStyle w:val="Hyperlink"/>
            <w:rFonts w:eastAsiaTheme="majorEastAsia"/>
            <w:b/>
            <w:color w:val="auto"/>
            <w:u w:val="none"/>
          </w:rPr>
          <w:t>veniturinefiscale@dfmt.ro</w:t>
        </w:r>
      </w:hyperlink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lastRenderedPageBreak/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9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157AE6" w:rsidRPr="000A10FA" w:rsidRDefault="00157AE6" w:rsidP="00A17CE3">
      <w:pPr>
        <w:jc w:val="both"/>
      </w:pP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lastRenderedPageBreak/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>(9) Locatarul se obligă să elibereze/restituie bunul la expirarea/încetarea contractului de închiriere, din orice motiv, în starea în care l-a primit, şi este obligat să restituie locatorului, în deplină 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</w:t>
      </w:r>
      <w:r w:rsidR="00CF0CE6">
        <w:t xml:space="preserve"> prin Autorizaţia de construire, întrucât spațiul se află în stare de degradare ( fisură pe un perete ), asociația prin solicitarea de atribuire </w:t>
      </w:r>
      <w:r w:rsidR="003E773E">
        <w:t xml:space="preserve">a </w:t>
      </w:r>
      <w:r w:rsidR="00CF0CE6">
        <w:t>spațiu</w:t>
      </w:r>
      <w:r w:rsidR="003E773E">
        <w:t>lui</w:t>
      </w:r>
      <w:r w:rsidR="00CF0CE6">
        <w:t xml:space="preserve"> s-a angajat să reabiliteze spațiul din fonduri proprii.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lastRenderedPageBreak/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lastRenderedPageBreak/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  drepturilor rezultând  din prezentul contract, subînchirierea totală sau parţială, sau utilizarea acestor drepturi în cadrul unei asocieri în participaţiune, este interzisă.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Default="00E5309B" w:rsidP="00A17CE3">
      <w:pPr>
        <w:jc w:val="both"/>
      </w:pP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157AE6" w:rsidRPr="000A10FA" w:rsidRDefault="00157AE6" w:rsidP="00A17CE3">
      <w:pPr>
        <w:jc w:val="both"/>
      </w:pP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</w:t>
      </w:r>
      <w:r w:rsidR="00FF1446">
        <w:rPr>
          <w:b/>
          <w:sz w:val="22"/>
          <w:szCs w:val="22"/>
        </w:rPr>
        <w:t xml:space="preserve">DOMINIC FRITZ                                                      </w:t>
      </w:r>
      <w:r w:rsidR="00C0344D">
        <w:rPr>
          <w:b/>
          <w:sz w:val="22"/>
          <w:szCs w:val="22"/>
        </w:rPr>
        <w:t>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STELIANA STANCIU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1366DC" w:rsidRDefault="00F02351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</w:t>
      </w:r>
      <w:r w:rsidR="00BE7FCA">
        <w:rPr>
          <w:b/>
          <w:color w:val="000000" w:themeColor="text1"/>
          <w:sz w:val="22"/>
          <w:szCs w:val="22"/>
        </w:rPr>
        <w:t xml:space="preserve">       </w:t>
      </w:r>
      <w:r w:rsidRPr="00F45D40">
        <w:rPr>
          <w:b/>
          <w:color w:val="000000" w:themeColor="text1"/>
          <w:sz w:val="22"/>
          <w:szCs w:val="22"/>
        </w:rPr>
        <w:t xml:space="preserve"> </w:t>
      </w: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326AC8">
      <w:footerReference w:type="even" r:id="rId10"/>
      <w:footerReference w:type="default" r:id="rId11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84C" w:rsidRDefault="0068784C" w:rsidP="00D81AEB">
      <w:r>
        <w:separator/>
      </w:r>
    </w:p>
  </w:endnote>
  <w:endnote w:type="continuationSeparator" w:id="1">
    <w:p w:rsidR="0068784C" w:rsidRDefault="0068784C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CF73CA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CF73CA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880A06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84C" w:rsidRDefault="0068784C" w:rsidP="00D81AEB">
      <w:r>
        <w:separator/>
      </w:r>
    </w:p>
  </w:footnote>
  <w:footnote w:type="continuationSeparator" w:id="1">
    <w:p w:rsidR="0068784C" w:rsidRDefault="0068784C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281"/>
    <w:rsid w:val="000071BB"/>
    <w:rsid w:val="00011C0F"/>
    <w:rsid w:val="000163BE"/>
    <w:rsid w:val="00045C97"/>
    <w:rsid w:val="000513EA"/>
    <w:rsid w:val="000555DC"/>
    <w:rsid w:val="000607F6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E233D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57AE6"/>
    <w:rsid w:val="001764D1"/>
    <w:rsid w:val="001816CA"/>
    <w:rsid w:val="001817E9"/>
    <w:rsid w:val="001A1DA8"/>
    <w:rsid w:val="001B3478"/>
    <w:rsid w:val="001F1986"/>
    <w:rsid w:val="001F1A96"/>
    <w:rsid w:val="001F6584"/>
    <w:rsid w:val="002342E9"/>
    <w:rsid w:val="002372A6"/>
    <w:rsid w:val="00240DAF"/>
    <w:rsid w:val="002541AF"/>
    <w:rsid w:val="00255B5D"/>
    <w:rsid w:val="002611D1"/>
    <w:rsid w:val="00263F18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15399"/>
    <w:rsid w:val="00320DAE"/>
    <w:rsid w:val="00324BB1"/>
    <w:rsid w:val="00326AC8"/>
    <w:rsid w:val="0034142A"/>
    <w:rsid w:val="00370215"/>
    <w:rsid w:val="00382AA1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3E773E"/>
    <w:rsid w:val="00400F22"/>
    <w:rsid w:val="004024EB"/>
    <w:rsid w:val="004249E6"/>
    <w:rsid w:val="00425254"/>
    <w:rsid w:val="00455F16"/>
    <w:rsid w:val="00457C97"/>
    <w:rsid w:val="00472343"/>
    <w:rsid w:val="004761B2"/>
    <w:rsid w:val="00495988"/>
    <w:rsid w:val="004974C8"/>
    <w:rsid w:val="004A08E2"/>
    <w:rsid w:val="004A3F98"/>
    <w:rsid w:val="004D4012"/>
    <w:rsid w:val="004D4A01"/>
    <w:rsid w:val="004F4DF2"/>
    <w:rsid w:val="00510DAC"/>
    <w:rsid w:val="00512916"/>
    <w:rsid w:val="00514D13"/>
    <w:rsid w:val="0051619C"/>
    <w:rsid w:val="00521AC1"/>
    <w:rsid w:val="00521AF6"/>
    <w:rsid w:val="00542598"/>
    <w:rsid w:val="00543A76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14245"/>
    <w:rsid w:val="00620FCC"/>
    <w:rsid w:val="00635CA3"/>
    <w:rsid w:val="00652AD2"/>
    <w:rsid w:val="00656732"/>
    <w:rsid w:val="00657226"/>
    <w:rsid w:val="00657E1E"/>
    <w:rsid w:val="006636B0"/>
    <w:rsid w:val="0067092C"/>
    <w:rsid w:val="0068784C"/>
    <w:rsid w:val="006B0FB6"/>
    <w:rsid w:val="006C256D"/>
    <w:rsid w:val="006C6FBC"/>
    <w:rsid w:val="006D6BA8"/>
    <w:rsid w:val="006E386D"/>
    <w:rsid w:val="006E4F20"/>
    <w:rsid w:val="006F0D64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7F164A"/>
    <w:rsid w:val="0080761A"/>
    <w:rsid w:val="00813B76"/>
    <w:rsid w:val="00830822"/>
    <w:rsid w:val="008313F0"/>
    <w:rsid w:val="00833DAF"/>
    <w:rsid w:val="00835660"/>
    <w:rsid w:val="00844707"/>
    <w:rsid w:val="008519DC"/>
    <w:rsid w:val="00880A06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C015C"/>
    <w:rsid w:val="009D3771"/>
    <w:rsid w:val="00A05AEF"/>
    <w:rsid w:val="00A17CE3"/>
    <w:rsid w:val="00A308BF"/>
    <w:rsid w:val="00A50576"/>
    <w:rsid w:val="00A574F6"/>
    <w:rsid w:val="00A65262"/>
    <w:rsid w:val="00A71A43"/>
    <w:rsid w:val="00A76044"/>
    <w:rsid w:val="00A82C2E"/>
    <w:rsid w:val="00A919E7"/>
    <w:rsid w:val="00A96786"/>
    <w:rsid w:val="00AA7342"/>
    <w:rsid w:val="00AC3434"/>
    <w:rsid w:val="00AD16FC"/>
    <w:rsid w:val="00B1388A"/>
    <w:rsid w:val="00B276C4"/>
    <w:rsid w:val="00B418A0"/>
    <w:rsid w:val="00B61228"/>
    <w:rsid w:val="00B65133"/>
    <w:rsid w:val="00B92ED8"/>
    <w:rsid w:val="00B93967"/>
    <w:rsid w:val="00B9429E"/>
    <w:rsid w:val="00BA336F"/>
    <w:rsid w:val="00BA67EE"/>
    <w:rsid w:val="00BB64AF"/>
    <w:rsid w:val="00BB6662"/>
    <w:rsid w:val="00BD74C1"/>
    <w:rsid w:val="00BE7FCA"/>
    <w:rsid w:val="00BF77E6"/>
    <w:rsid w:val="00C027F7"/>
    <w:rsid w:val="00C0344D"/>
    <w:rsid w:val="00C05CF1"/>
    <w:rsid w:val="00C13AB4"/>
    <w:rsid w:val="00C21030"/>
    <w:rsid w:val="00C26C20"/>
    <w:rsid w:val="00C273EE"/>
    <w:rsid w:val="00C46798"/>
    <w:rsid w:val="00C97B2D"/>
    <w:rsid w:val="00C97D6B"/>
    <w:rsid w:val="00CA2CA9"/>
    <w:rsid w:val="00CA2E51"/>
    <w:rsid w:val="00CB1FE5"/>
    <w:rsid w:val="00CB35D9"/>
    <w:rsid w:val="00CB5B3C"/>
    <w:rsid w:val="00CC3DDA"/>
    <w:rsid w:val="00CD3A32"/>
    <w:rsid w:val="00CE31B3"/>
    <w:rsid w:val="00CE7BB2"/>
    <w:rsid w:val="00CF0CE6"/>
    <w:rsid w:val="00CF208B"/>
    <w:rsid w:val="00CF2826"/>
    <w:rsid w:val="00CF73CA"/>
    <w:rsid w:val="00D02ED8"/>
    <w:rsid w:val="00D04402"/>
    <w:rsid w:val="00D063C3"/>
    <w:rsid w:val="00D077F3"/>
    <w:rsid w:val="00D16152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A5EB1"/>
    <w:rsid w:val="00DB740F"/>
    <w:rsid w:val="00DC4653"/>
    <w:rsid w:val="00DD2228"/>
    <w:rsid w:val="00DE31EE"/>
    <w:rsid w:val="00DE7366"/>
    <w:rsid w:val="00DF49EC"/>
    <w:rsid w:val="00DF59D9"/>
    <w:rsid w:val="00E31D68"/>
    <w:rsid w:val="00E36777"/>
    <w:rsid w:val="00E50096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EF1773"/>
    <w:rsid w:val="00F00A08"/>
    <w:rsid w:val="00F02351"/>
    <w:rsid w:val="00F03949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0746"/>
    <w:rsid w:val="00F92CA6"/>
    <w:rsid w:val="00F96EB2"/>
    <w:rsid w:val="00FB66BB"/>
    <w:rsid w:val="00FD0BCC"/>
    <w:rsid w:val="00FE3F9B"/>
    <w:rsid w:val="00FE4EEC"/>
    <w:rsid w:val="00FF1446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niturinefiscale@df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8D1B6-2330-45C5-9705-04C69CF8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3196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9</cp:revision>
  <cp:lastPrinted>2022-12-28T13:25:00Z</cp:lastPrinted>
  <dcterms:created xsi:type="dcterms:W3CDTF">2022-05-24T10:30:00Z</dcterms:created>
  <dcterms:modified xsi:type="dcterms:W3CDTF">2022-12-28T13:26:00Z</dcterms:modified>
</cp:coreProperties>
</file>