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35EA" w14:textId="77777777" w:rsidR="001A422D" w:rsidRPr="00DA5BE5" w:rsidRDefault="001A422D" w:rsidP="00037BC7">
      <w:pPr>
        <w:jc w:val="both"/>
        <w:rPr>
          <w:b/>
          <w:sz w:val="24"/>
          <w:szCs w:val="24"/>
        </w:rPr>
      </w:pPr>
      <w:r w:rsidRPr="00DA5BE5">
        <w:rPr>
          <w:b/>
          <w:sz w:val="24"/>
          <w:szCs w:val="24"/>
        </w:rPr>
        <w:t xml:space="preserve">MUNICIPIUL  TIMISOARA                                                                     </w:t>
      </w:r>
    </w:p>
    <w:p w14:paraId="30A7021D" w14:textId="77777777" w:rsidR="001A422D" w:rsidRPr="00DA5BE5" w:rsidRDefault="00100943" w:rsidP="00037BC7">
      <w:pPr>
        <w:jc w:val="both"/>
        <w:rPr>
          <w:b/>
          <w:sz w:val="24"/>
          <w:szCs w:val="24"/>
        </w:rPr>
      </w:pPr>
      <w:r w:rsidRPr="00DA5BE5">
        <w:rPr>
          <w:sz w:val="24"/>
          <w:szCs w:val="24"/>
        </w:rPr>
        <w:t>DIRECȚ</w:t>
      </w:r>
      <w:r w:rsidR="001A422D" w:rsidRPr="00DA5BE5">
        <w:rPr>
          <w:sz w:val="24"/>
          <w:szCs w:val="24"/>
        </w:rPr>
        <w:t xml:space="preserve">IA </w:t>
      </w:r>
      <w:r w:rsidR="000A2499" w:rsidRPr="00DA5BE5">
        <w:rPr>
          <w:sz w:val="24"/>
          <w:szCs w:val="24"/>
        </w:rPr>
        <w:t>INCUBATOR DE PROIECTE</w:t>
      </w:r>
      <w:r w:rsidR="001A422D" w:rsidRPr="00DA5BE5">
        <w:rPr>
          <w:sz w:val="24"/>
          <w:szCs w:val="24"/>
        </w:rPr>
        <w:tab/>
      </w:r>
      <w:r w:rsidR="001A422D" w:rsidRPr="00DA5BE5">
        <w:rPr>
          <w:b/>
          <w:sz w:val="24"/>
          <w:szCs w:val="24"/>
        </w:rPr>
        <w:tab/>
      </w:r>
      <w:r w:rsidR="001A422D" w:rsidRPr="00DA5BE5">
        <w:rPr>
          <w:b/>
          <w:sz w:val="24"/>
          <w:szCs w:val="24"/>
        </w:rPr>
        <w:tab/>
      </w:r>
      <w:r w:rsidR="001A422D" w:rsidRPr="00DA5BE5">
        <w:rPr>
          <w:b/>
          <w:sz w:val="24"/>
          <w:szCs w:val="24"/>
        </w:rPr>
        <w:tab/>
      </w:r>
      <w:r w:rsidR="001A422D" w:rsidRPr="00DA5BE5">
        <w:rPr>
          <w:b/>
          <w:sz w:val="24"/>
          <w:szCs w:val="24"/>
        </w:rPr>
        <w:tab/>
      </w:r>
      <w:r w:rsidR="001A422D" w:rsidRPr="00DA5BE5">
        <w:rPr>
          <w:b/>
          <w:sz w:val="24"/>
          <w:szCs w:val="24"/>
        </w:rPr>
        <w:tab/>
      </w:r>
      <w:r w:rsidR="001A422D" w:rsidRPr="00DA5BE5">
        <w:rPr>
          <w:b/>
          <w:sz w:val="24"/>
          <w:szCs w:val="24"/>
        </w:rPr>
        <w:tab/>
      </w:r>
    </w:p>
    <w:p w14:paraId="1208DD8B" w14:textId="77777777" w:rsidR="001A422D" w:rsidRPr="00DA5BE5" w:rsidRDefault="000A2499" w:rsidP="00037BC7">
      <w:pPr>
        <w:jc w:val="both"/>
        <w:rPr>
          <w:sz w:val="24"/>
          <w:szCs w:val="24"/>
        </w:rPr>
      </w:pPr>
      <w:r w:rsidRPr="00DA5BE5">
        <w:rPr>
          <w:sz w:val="24"/>
          <w:szCs w:val="24"/>
        </w:rPr>
        <w:t>SERVICIUL FINANȚĂRI NERAMBURSABILE</w:t>
      </w:r>
      <w:r w:rsidR="001A422D" w:rsidRPr="00DA5BE5">
        <w:rPr>
          <w:bCs/>
          <w:sz w:val="24"/>
          <w:szCs w:val="24"/>
        </w:rPr>
        <w:t xml:space="preserve"> </w:t>
      </w:r>
      <w:r w:rsidR="001A422D" w:rsidRPr="00DA5BE5">
        <w:rPr>
          <w:bCs/>
          <w:sz w:val="24"/>
          <w:szCs w:val="24"/>
        </w:rPr>
        <w:tab/>
      </w:r>
      <w:r w:rsidR="001A422D" w:rsidRPr="00DA5BE5">
        <w:rPr>
          <w:bCs/>
          <w:sz w:val="24"/>
          <w:szCs w:val="24"/>
        </w:rPr>
        <w:tab/>
      </w:r>
      <w:r w:rsidR="001A422D" w:rsidRPr="00DA5BE5">
        <w:rPr>
          <w:bCs/>
          <w:sz w:val="24"/>
          <w:szCs w:val="24"/>
        </w:rPr>
        <w:tab/>
      </w:r>
      <w:r w:rsidR="001A422D" w:rsidRPr="00DA5BE5">
        <w:rPr>
          <w:bCs/>
          <w:sz w:val="24"/>
          <w:szCs w:val="24"/>
        </w:rPr>
        <w:tab/>
      </w:r>
      <w:r w:rsidR="001A422D" w:rsidRPr="00DA5BE5">
        <w:rPr>
          <w:bCs/>
          <w:sz w:val="24"/>
          <w:szCs w:val="24"/>
        </w:rPr>
        <w:tab/>
      </w:r>
      <w:r w:rsidR="001A422D" w:rsidRPr="00DA5BE5">
        <w:rPr>
          <w:sz w:val="24"/>
          <w:szCs w:val="24"/>
        </w:rPr>
        <w:t xml:space="preserve"> </w:t>
      </w:r>
    </w:p>
    <w:p w14:paraId="7927CA26" w14:textId="73F3FB28" w:rsidR="001A422D" w:rsidRPr="00DA5BE5" w:rsidRDefault="000A2499" w:rsidP="00037BC7">
      <w:pPr>
        <w:jc w:val="both"/>
        <w:rPr>
          <w:sz w:val="24"/>
          <w:szCs w:val="24"/>
        </w:rPr>
      </w:pPr>
      <w:r w:rsidRPr="00DA5BE5">
        <w:rPr>
          <w:sz w:val="24"/>
          <w:szCs w:val="24"/>
        </w:rPr>
        <w:t>SC 2022</w:t>
      </w:r>
      <w:r w:rsidR="00B81E57">
        <w:rPr>
          <w:sz w:val="24"/>
          <w:szCs w:val="24"/>
        </w:rPr>
        <w:t xml:space="preserve"> </w:t>
      </w:r>
      <w:r w:rsidR="002445F6">
        <w:rPr>
          <w:sz w:val="24"/>
          <w:szCs w:val="24"/>
        </w:rPr>
        <w:t>–</w:t>
      </w:r>
      <w:r w:rsidRPr="00DA5BE5">
        <w:rPr>
          <w:sz w:val="24"/>
          <w:szCs w:val="24"/>
        </w:rPr>
        <w:t xml:space="preserve"> </w:t>
      </w:r>
      <w:r w:rsidR="002445F6">
        <w:rPr>
          <w:sz w:val="24"/>
          <w:szCs w:val="24"/>
        </w:rPr>
        <w:t>23150/20.09.2022</w:t>
      </w:r>
    </w:p>
    <w:p w14:paraId="06831DE7" w14:textId="77777777" w:rsidR="00EB19E1" w:rsidRPr="00DA5BE5" w:rsidRDefault="00EB19E1" w:rsidP="00037BC7">
      <w:pPr>
        <w:jc w:val="both"/>
        <w:rPr>
          <w:sz w:val="24"/>
          <w:szCs w:val="24"/>
        </w:rPr>
      </w:pPr>
    </w:p>
    <w:p w14:paraId="6F1ED166" w14:textId="58395A65" w:rsidR="00C478F6" w:rsidRDefault="00C478F6" w:rsidP="00037BC7">
      <w:pPr>
        <w:jc w:val="both"/>
        <w:rPr>
          <w:sz w:val="24"/>
          <w:szCs w:val="24"/>
        </w:rPr>
      </w:pPr>
    </w:p>
    <w:p w14:paraId="2B4DB7C0" w14:textId="77777777" w:rsidR="00EB1855" w:rsidRPr="00DA5BE5" w:rsidRDefault="00EB1855" w:rsidP="00037BC7">
      <w:pPr>
        <w:jc w:val="both"/>
        <w:rPr>
          <w:sz w:val="24"/>
          <w:szCs w:val="24"/>
        </w:rPr>
      </w:pPr>
    </w:p>
    <w:p w14:paraId="0C5435E3" w14:textId="77777777" w:rsidR="001A422D" w:rsidRPr="00DA5BE5" w:rsidRDefault="001A422D" w:rsidP="00C478F6">
      <w:pPr>
        <w:jc w:val="center"/>
        <w:rPr>
          <w:b/>
          <w:sz w:val="24"/>
          <w:szCs w:val="24"/>
        </w:rPr>
      </w:pPr>
      <w:r w:rsidRPr="00DA5BE5">
        <w:rPr>
          <w:b/>
          <w:sz w:val="24"/>
          <w:szCs w:val="24"/>
        </w:rPr>
        <w:t>RAPORT DE SPECIALITATE</w:t>
      </w:r>
    </w:p>
    <w:p w14:paraId="15A3F473" w14:textId="1D281ACB" w:rsidR="00E42C5E" w:rsidRPr="00DA5BE5" w:rsidRDefault="00E42C5E" w:rsidP="0098138E">
      <w:pPr>
        <w:jc w:val="center"/>
        <w:rPr>
          <w:b/>
          <w:sz w:val="24"/>
          <w:szCs w:val="24"/>
        </w:rPr>
      </w:pPr>
      <w:r w:rsidRPr="00DA5BE5">
        <w:rPr>
          <w:b/>
          <w:sz w:val="24"/>
          <w:szCs w:val="24"/>
        </w:rPr>
        <w:t xml:space="preserve">privind </w:t>
      </w:r>
      <w:r w:rsidR="00B81E57">
        <w:rPr>
          <w:b/>
          <w:sz w:val="24"/>
          <w:szCs w:val="24"/>
        </w:rPr>
        <w:t>modificarea HCL nr.</w:t>
      </w:r>
      <w:r w:rsidR="00B20E5E">
        <w:rPr>
          <w:b/>
          <w:sz w:val="24"/>
          <w:szCs w:val="24"/>
        </w:rPr>
        <w:t xml:space="preserve"> 339/12.07.2022 </w:t>
      </w:r>
      <w:r w:rsidR="00B81E57">
        <w:rPr>
          <w:b/>
          <w:sz w:val="24"/>
          <w:szCs w:val="24"/>
        </w:rPr>
        <w:t xml:space="preserve">privind </w:t>
      </w:r>
      <w:r w:rsidRPr="00DA5BE5">
        <w:rPr>
          <w:b/>
          <w:sz w:val="24"/>
          <w:szCs w:val="24"/>
        </w:rPr>
        <w:t>aprobarea depunerii proiectului „Timișoara Capitală Europeană a Culturii: Memorialul Revoluției-</w:t>
      </w:r>
      <w:r w:rsidR="00D66327" w:rsidRPr="00DA5BE5">
        <w:rPr>
          <w:b/>
          <w:sz w:val="24"/>
          <w:szCs w:val="24"/>
        </w:rPr>
        <w:t>d</w:t>
      </w:r>
      <w:r w:rsidR="00292215" w:rsidRPr="00DA5BE5">
        <w:rPr>
          <w:b/>
          <w:sz w:val="24"/>
          <w:szCs w:val="24"/>
        </w:rPr>
        <w:t>ecembrie</w:t>
      </w:r>
      <w:r w:rsidRPr="00DA5BE5">
        <w:rPr>
          <w:b/>
          <w:sz w:val="24"/>
          <w:szCs w:val="24"/>
        </w:rPr>
        <w:t xml:space="preserve"> 1989”, a descrierii sumare a investiției propuse prin proiect, precum şi a cheltuielilor legate de proiect în vederea finanțării prin Planul Național Redresare și Reziliență</w:t>
      </w:r>
      <w:r w:rsidR="00A65543" w:rsidRPr="00DA5BE5">
        <w:rPr>
          <w:b/>
          <w:sz w:val="24"/>
          <w:szCs w:val="24"/>
        </w:rPr>
        <w:t xml:space="preserve"> 2020-2026</w:t>
      </w:r>
      <w:r w:rsidRPr="00DA5BE5">
        <w:rPr>
          <w:b/>
          <w:sz w:val="24"/>
          <w:szCs w:val="24"/>
        </w:rPr>
        <w:t>, Componenta C11-Turism și Cultură, Investiția I2</w:t>
      </w:r>
    </w:p>
    <w:p w14:paraId="4DE58EFB" w14:textId="77777777" w:rsidR="00D66327" w:rsidRPr="00DA5BE5" w:rsidRDefault="00D66327" w:rsidP="00C478F6">
      <w:pPr>
        <w:jc w:val="both"/>
        <w:rPr>
          <w:b/>
          <w:bCs/>
          <w:sz w:val="24"/>
          <w:szCs w:val="24"/>
        </w:rPr>
      </w:pPr>
    </w:p>
    <w:p w14:paraId="0AF9DE36" w14:textId="77777777" w:rsidR="00EB1855" w:rsidRDefault="00EB1855" w:rsidP="00C478F6">
      <w:pPr>
        <w:jc w:val="both"/>
        <w:rPr>
          <w:b/>
          <w:bCs/>
          <w:sz w:val="24"/>
          <w:szCs w:val="24"/>
        </w:rPr>
      </w:pPr>
    </w:p>
    <w:p w14:paraId="7AAB1DA7" w14:textId="2328C45B" w:rsidR="00BE2C58" w:rsidRPr="00B81E57" w:rsidRDefault="001A422D" w:rsidP="00C478F6">
      <w:pPr>
        <w:jc w:val="both"/>
        <w:rPr>
          <w:sz w:val="24"/>
          <w:szCs w:val="24"/>
          <w:lang w:eastAsia="ro-RO"/>
        </w:rPr>
      </w:pPr>
      <w:r w:rsidRPr="00DA5BE5">
        <w:rPr>
          <w:b/>
          <w:bCs/>
          <w:sz w:val="24"/>
          <w:szCs w:val="24"/>
        </w:rPr>
        <w:br/>
      </w:r>
      <w:r w:rsidR="00C478F6" w:rsidRPr="00DA5BE5">
        <w:rPr>
          <w:sz w:val="24"/>
          <w:szCs w:val="24"/>
          <w:lang w:eastAsia="ro-RO"/>
        </w:rPr>
        <w:t xml:space="preserve">         </w:t>
      </w:r>
      <w:r w:rsidR="00BE2C58" w:rsidRPr="00B81E57">
        <w:rPr>
          <w:sz w:val="24"/>
          <w:szCs w:val="24"/>
          <w:lang w:eastAsia="ro-RO"/>
        </w:rPr>
        <w:t>Având în</w:t>
      </w:r>
      <w:r w:rsidR="00FE657C" w:rsidRPr="00B81E57">
        <w:rPr>
          <w:sz w:val="24"/>
          <w:szCs w:val="24"/>
          <w:lang w:eastAsia="ro-RO"/>
        </w:rPr>
        <w:t xml:space="preserve"> vedere Referatul </w:t>
      </w:r>
      <w:r w:rsidR="00B81E57" w:rsidRPr="00B81E57">
        <w:rPr>
          <w:sz w:val="24"/>
          <w:szCs w:val="24"/>
          <w:lang w:eastAsia="ro-RO"/>
        </w:rPr>
        <w:t>nr.</w:t>
      </w:r>
      <w:r w:rsidR="002445F6">
        <w:rPr>
          <w:sz w:val="24"/>
          <w:szCs w:val="24"/>
          <w:lang w:eastAsia="ro-RO"/>
        </w:rPr>
        <w:t>23150/20.09.2022</w:t>
      </w:r>
      <w:r w:rsidR="00B20E5E">
        <w:rPr>
          <w:sz w:val="24"/>
          <w:szCs w:val="24"/>
          <w:lang w:eastAsia="ro-RO"/>
        </w:rPr>
        <w:t xml:space="preserve"> </w:t>
      </w:r>
      <w:r w:rsidR="00B81E57" w:rsidRPr="00B81E57">
        <w:rPr>
          <w:sz w:val="24"/>
          <w:szCs w:val="24"/>
          <w:lang w:eastAsia="ro-RO"/>
        </w:rPr>
        <w:t xml:space="preserve"> al</w:t>
      </w:r>
      <w:r w:rsidR="00BE2C58" w:rsidRPr="00B81E57">
        <w:rPr>
          <w:sz w:val="24"/>
          <w:szCs w:val="24"/>
          <w:lang w:eastAsia="ro-RO"/>
        </w:rPr>
        <w:t xml:space="preserve"> Primarului Municipiului Timișoara și Proiectul de hotărâre privind </w:t>
      </w:r>
      <w:r w:rsidR="00B81E57" w:rsidRPr="00B20E5E">
        <w:rPr>
          <w:i/>
          <w:iCs/>
          <w:sz w:val="24"/>
          <w:szCs w:val="24"/>
        </w:rPr>
        <w:t>modificarea HCL nr.</w:t>
      </w:r>
      <w:r w:rsidR="00B20E5E" w:rsidRPr="00B20E5E">
        <w:rPr>
          <w:i/>
          <w:iCs/>
          <w:sz w:val="24"/>
          <w:szCs w:val="24"/>
        </w:rPr>
        <w:t>339/12.07.2022</w:t>
      </w:r>
      <w:r w:rsidR="00B81E57" w:rsidRPr="00B20E5E">
        <w:rPr>
          <w:i/>
          <w:iCs/>
          <w:sz w:val="24"/>
          <w:szCs w:val="24"/>
        </w:rPr>
        <w:t xml:space="preserve"> </w:t>
      </w:r>
      <w:r w:rsidR="00E42C5E" w:rsidRPr="00B20E5E">
        <w:rPr>
          <w:i/>
          <w:iCs/>
          <w:sz w:val="24"/>
          <w:szCs w:val="24"/>
          <w:lang w:eastAsia="ro-RO"/>
        </w:rPr>
        <w:t>privind aprobarea depunerii proiectului „Timișoara Capitală Europeană a Culturii: Memorialul Revoluției-</w:t>
      </w:r>
      <w:r w:rsidR="00D66327" w:rsidRPr="00B20E5E">
        <w:rPr>
          <w:i/>
          <w:iCs/>
          <w:sz w:val="24"/>
          <w:szCs w:val="24"/>
          <w:lang w:eastAsia="ro-RO"/>
        </w:rPr>
        <w:t>d</w:t>
      </w:r>
      <w:r w:rsidR="00292215" w:rsidRPr="00B20E5E">
        <w:rPr>
          <w:i/>
          <w:iCs/>
          <w:sz w:val="24"/>
          <w:szCs w:val="24"/>
          <w:lang w:eastAsia="ro-RO"/>
        </w:rPr>
        <w:t>ecembrie</w:t>
      </w:r>
      <w:r w:rsidR="00E42C5E" w:rsidRPr="00B20E5E">
        <w:rPr>
          <w:i/>
          <w:iCs/>
          <w:sz w:val="24"/>
          <w:szCs w:val="24"/>
          <w:lang w:eastAsia="ro-RO"/>
        </w:rPr>
        <w:t xml:space="preserve"> 1989”, a descrierii sumare a investiției propuse prin proiect, precum şi a cheltuielilor legate de proiect în vederea finanțării prin Planul Național Redresare și Reziliență, Componenta C11-Turism și Cultură, Investiția I2</w:t>
      </w:r>
      <w:r w:rsidR="00BE2C58" w:rsidRPr="00B81E57">
        <w:rPr>
          <w:sz w:val="24"/>
          <w:szCs w:val="24"/>
          <w:lang w:eastAsia="ro-RO"/>
        </w:rPr>
        <w:t xml:space="preserve">,  </w:t>
      </w:r>
    </w:p>
    <w:p w14:paraId="191CD60A" w14:textId="77777777" w:rsidR="00B81E57" w:rsidRDefault="00B81E57" w:rsidP="00037BC7">
      <w:pPr>
        <w:ind w:firstLine="540"/>
        <w:jc w:val="both"/>
        <w:rPr>
          <w:sz w:val="24"/>
          <w:szCs w:val="24"/>
          <w:lang w:eastAsia="ro-RO"/>
        </w:rPr>
      </w:pPr>
    </w:p>
    <w:p w14:paraId="119D9425" w14:textId="2DF7DE6D" w:rsidR="00BE2C58" w:rsidRPr="00B81E57" w:rsidRDefault="00BE2C58" w:rsidP="00037BC7">
      <w:pPr>
        <w:ind w:firstLine="540"/>
        <w:jc w:val="both"/>
        <w:rPr>
          <w:sz w:val="24"/>
          <w:szCs w:val="24"/>
          <w:lang w:eastAsia="ro-RO"/>
        </w:rPr>
      </w:pPr>
      <w:r w:rsidRPr="00B81E57">
        <w:rPr>
          <w:sz w:val="24"/>
          <w:szCs w:val="24"/>
          <w:lang w:eastAsia="ro-RO"/>
        </w:rPr>
        <w:t>Facem următoarele precizări:</w:t>
      </w:r>
    </w:p>
    <w:p w14:paraId="6549084F" w14:textId="77777777" w:rsidR="00C478F6" w:rsidRPr="00DA5BE5" w:rsidRDefault="00C478F6" w:rsidP="00037BC7">
      <w:pPr>
        <w:ind w:firstLine="576"/>
        <w:jc w:val="both"/>
        <w:rPr>
          <w:sz w:val="24"/>
          <w:szCs w:val="24"/>
          <w:lang w:eastAsia="ro-RO"/>
        </w:rPr>
      </w:pPr>
    </w:p>
    <w:p w14:paraId="3DD0B9BB" w14:textId="4965E058" w:rsidR="00783840" w:rsidRDefault="00783840" w:rsidP="00037BC7">
      <w:pPr>
        <w:ind w:firstLine="576"/>
        <w:jc w:val="both"/>
        <w:rPr>
          <w:sz w:val="24"/>
          <w:szCs w:val="24"/>
          <w:lang w:eastAsia="ro-RO"/>
        </w:rPr>
      </w:pPr>
      <w:r w:rsidRPr="00DA5BE5">
        <w:rPr>
          <w:sz w:val="24"/>
          <w:szCs w:val="24"/>
          <w:lang w:eastAsia="ro-RO"/>
        </w:rPr>
        <w:t>Memoria R</w:t>
      </w:r>
      <w:r w:rsidR="000C1719" w:rsidRPr="00DA5BE5">
        <w:rPr>
          <w:sz w:val="24"/>
          <w:szCs w:val="24"/>
          <w:lang w:eastAsia="ro-RO"/>
        </w:rPr>
        <w:t>evoluției este reflectată în spațiul public doar prin monumente de for public amplasate punctual în zonele relevante pentru evenimentele din</w:t>
      </w:r>
      <w:r w:rsidR="0098138E" w:rsidRPr="00DA5BE5">
        <w:rPr>
          <w:sz w:val="24"/>
          <w:szCs w:val="24"/>
          <w:lang w:eastAsia="ro-RO"/>
        </w:rPr>
        <w:t xml:space="preserve"> decembrie </w:t>
      </w:r>
      <w:r w:rsidR="000C1719" w:rsidRPr="00DA5BE5">
        <w:rPr>
          <w:sz w:val="24"/>
          <w:szCs w:val="24"/>
          <w:lang w:eastAsia="ro-RO"/>
        </w:rPr>
        <w:t xml:space="preserve">1989. Valorile Revoluției nu se reflectă în spațiul public dincolo de o comemorare prin memorie a evenimentelor, spațiile urbane aferente nu oferă o calitate urbană care să permită locuitorilor și vizitatorilor să parcurgă traseul pe jos sau cu bicicleta, să se poată opri în siguranță, să poată petrece timp în ele, să comunice și să se informeze despre </w:t>
      </w:r>
      <w:r w:rsidRPr="00DA5BE5">
        <w:rPr>
          <w:sz w:val="24"/>
          <w:szCs w:val="24"/>
          <w:lang w:eastAsia="ro-RO"/>
        </w:rPr>
        <w:t>R</w:t>
      </w:r>
      <w:r w:rsidR="000C1719" w:rsidRPr="00DA5BE5">
        <w:rPr>
          <w:sz w:val="24"/>
          <w:szCs w:val="24"/>
          <w:lang w:eastAsia="ro-RO"/>
        </w:rPr>
        <w:t xml:space="preserve">evoluția din </w:t>
      </w:r>
      <w:r w:rsidR="00D66327" w:rsidRPr="00DA5BE5">
        <w:rPr>
          <w:sz w:val="24"/>
          <w:szCs w:val="24"/>
          <w:lang w:eastAsia="ro-RO"/>
        </w:rPr>
        <w:t xml:space="preserve">decembrie </w:t>
      </w:r>
      <w:r w:rsidR="000C1719" w:rsidRPr="00DA5BE5">
        <w:rPr>
          <w:sz w:val="24"/>
          <w:szCs w:val="24"/>
          <w:lang w:eastAsia="ro-RO"/>
        </w:rPr>
        <w:t xml:space="preserve">1989. Infrastructura spațiului </w:t>
      </w:r>
      <w:r w:rsidRPr="00DA5BE5">
        <w:rPr>
          <w:sz w:val="24"/>
          <w:szCs w:val="24"/>
          <w:lang w:eastAsia="ro-RO"/>
        </w:rPr>
        <w:t>public din zonele marcante ale R</w:t>
      </w:r>
      <w:r w:rsidR="000C1719" w:rsidRPr="00DA5BE5">
        <w:rPr>
          <w:sz w:val="24"/>
          <w:szCs w:val="24"/>
          <w:lang w:eastAsia="ro-RO"/>
        </w:rPr>
        <w:t xml:space="preserve">evoluției are nevoie de modernizare și de un mod de a marca evenimentele </w:t>
      </w:r>
      <w:r w:rsidRPr="00DA5BE5">
        <w:rPr>
          <w:sz w:val="24"/>
          <w:szCs w:val="24"/>
          <w:lang w:eastAsia="ro-RO"/>
        </w:rPr>
        <w:t>R</w:t>
      </w:r>
      <w:r w:rsidR="000C1719" w:rsidRPr="00DA5BE5">
        <w:rPr>
          <w:sz w:val="24"/>
          <w:szCs w:val="24"/>
          <w:lang w:eastAsia="ro-RO"/>
        </w:rPr>
        <w:t>evoluției ca parte a experienței de zi cu zi a orașului,</w:t>
      </w:r>
      <w:r w:rsidRPr="00DA5BE5">
        <w:rPr>
          <w:sz w:val="24"/>
          <w:szCs w:val="24"/>
          <w:lang w:eastAsia="ro-RO"/>
        </w:rPr>
        <w:t xml:space="preserve"> respectiv a C</w:t>
      </w:r>
      <w:r w:rsidR="000C1719" w:rsidRPr="00DA5BE5">
        <w:rPr>
          <w:sz w:val="24"/>
          <w:szCs w:val="24"/>
          <w:lang w:eastAsia="ro-RO"/>
        </w:rPr>
        <w:t xml:space="preserve">apitalei </w:t>
      </w:r>
      <w:r w:rsidR="00DA0B47" w:rsidRPr="00DA5BE5">
        <w:rPr>
          <w:sz w:val="24"/>
          <w:szCs w:val="24"/>
          <w:lang w:eastAsia="ro-RO"/>
        </w:rPr>
        <w:t>C</w:t>
      </w:r>
      <w:r w:rsidR="000C1719" w:rsidRPr="00DA5BE5">
        <w:rPr>
          <w:sz w:val="24"/>
          <w:szCs w:val="24"/>
          <w:lang w:eastAsia="ro-RO"/>
        </w:rPr>
        <w:t>ulturale 2023.</w:t>
      </w:r>
    </w:p>
    <w:p w14:paraId="645C60D1" w14:textId="77777777" w:rsidR="00EB1855" w:rsidRPr="00DA5BE5" w:rsidRDefault="00EB1855" w:rsidP="00037BC7">
      <w:pPr>
        <w:ind w:firstLine="576"/>
        <w:jc w:val="both"/>
        <w:rPr>
          <w:sz w:val="24"/>
          <w:szCs w:val="24"/>
          <w:lang w:eastAsia="ro-RO"/>
        </w:rPr>
      </w:pPr>
    </w:p>
    <w:p w14:paraId="0B721E84" w14:textId="7CB38C1A" w:rsidR="000C1719" w:rsidRDefault="005F3B06" w:rsidP="00037BC7">
      <w:pPr>
        <w:ind w:firstLine="576"/>
        <w:jc w:val="both"/>
        <w:rPr>
          <w:sz w:val="24"/>
          <w:szCs w:val="24"/>
          <w:lang w:eastAsia="ro-RO"/>
        </w:rPr>
      </w:pPr>
      <w:r w:rsidRPr="00DA5BE5">
        <w:rPr>
          <w:bCs/>
          <w:sz w:val="24"/>
          <w:szCs w:val="24"/>
        </w:rPr>
        <w:t>România este datoare cu recunoașterea dramelor provocate oamenilor și societății în întregul ei de regimurile totalitariste, cu precădere în contextul geopolitic actual.</w:t>
      </w:r>
      <w:r w:rsidR="000C1719" w:rsidRPr="00DA5BE5">
        <w:rPr>
          <w:sz w:val="24"/>
          <w:szCs w:val="24"/>
          <w:lang w:eastAsia="ro-RO"/>
        </w:rPr>
        <w:t xml:space="preserve"> </w:t>
      </w:r>
      <w:r w:rsidRPr="00DA5BE5">
        <w:rPr>
          <w:sz w:val="24"/>
          <w:szCs w:val="24"/>
          <w:lang w:eastAsia="ro-RO"/>
        </w:rPr>
        <w:t>Î</w:t>
      </w:r>
      <w:r w:rsidR="00783840" w:rsidRPr="00DA5BE5">
        <w:rPr>
          <w:sz w:val="24"/>
          <w:szCs w:val="24"/>
          <w:lang w:eastAsia="ro-RO"/>
        </w:rPr>
        <w:t>ntrucât s</w:t>
      </w:r>
      <w:r w:rsidR="000C1719" w:rsidRPr="00DA5BE5">
        <w:rPr>
          <w:sz w:val="24"/>
          <w:szCs w:val="24"/>
          <w:lang w:eastAsia="ro-RO"/>
        </w:rPr>
        <w:t>pațiul public</w:t>
      </w:r>
      <w:r w:rsidR="00783840" w:rsidRPr="00DA5BE5">
        <w:rPr>
          <w:sz w:val="24"/>
          <w:szCs w:val="24"/>
          <w:lang w:eastAsia="ro-RO"/>
        </w:rPr>
        <w:t xml:space="preserve"> reprezintă memoria R</w:t>
      </w:r>
      <w:r w:rsidR="000C1719" w:rsidRPr="00DA5BE5">
        <w:rPr>
          <w:sz w:val="24"/>
          <w:szCs w:val="24"/>
          <w:lang w:eastAsia="ro-RO"/>
        </w:rPr>
        <w:t xml:space="preserve">evoluției într-o manieră </w:t>
      </w:r>
      <w:r w:rsidR="00783840" w:rsidRPr="00DA5BE5">
        <w:rPr>
          <w:sz w:val="24"/>
          <w:szCs w:val="24"/>
          <w:lang w:eastAsia="ro-RO"/>
        </w:rPr>
        <w:t>nesatisfăcătoare la ora actuală, e</w:t>
      </w:r>
      <w:r w:rsidR="000C1719" w:rsidRPr="00DA5BE5">
        <w:rPr>
          <w:sz w:val="24"/>
          <w:szCs w:val="24"/>
          <w:lang w:eastAsia="ro-RO"/>
        </w:rPr>
        <w:t xml:space="preserve">ste necesară transformarea </w:t>
      </w:r>
      <w:r w:rsidR="00783840" w:rsidRPr="00DA5BE5">
        <w:rPr>
          <w:sz w:val="24"/>
          <w:szCs w:val="24"/>
          <w:lang w:eastAsia="ro-RO"/>
        </w:rPr>
        <w:t>acestuia</w:t>
      </w:r>
      <w:r w:rsidR="000C1719" w:rsidRPr="00DA5BE5">
        <w:rPr>
          <w:sz w:val="24"/>
          <w:szCs w:val="24"/>
          <w:lang w:eastAsia="ro-RO"/>
        </w:rPr>
        <w:t xml:space="preserve"> astfel încât </w:t>
      </w:r>
      <w:r w:rsidR="00783840" w:rsidRPr="00DA5BE5">
        <w:rPr>
          <w:sz w:val="24"/>
          <w:szCs w:val="24"/>
          <w:lang w:eastAsia="ro-RO"/>
        </w:rPr>
        <w:t xml:space="preserve">să </w:t>
      </w:r>
      <w:r w:rsidR="000C1719" w:rsidRPr="00DA5BE5">
        <w:rPr>
          <w:sz w:val="24"/>
          <w:szCs w:val="24"/>
          <w:lang w:eastAsia="ro-RO"/>
        </w:rPr>
        <w:t>devină un factor de identificare socială și culturală</w:t>
      </w:r>
      <w:r w:rsidR="00413D2F" w:rsidRPr="00DA5BE5">
        <w:rPr>
          <w:bCs/>
          <w:sz w:val="24"/>
          <w:szCs w:val="24"/>
        </w:rPr>
        <w:t xml:space="preserve"> prin care România democratică și europeană va onora memoria victimelor totalitarismelor și va educa generațiile tinere</w:t>
      </w:r>
      <w:r w:rsidR="000C1719" w:rsidRPr="00DA5BE5">
        <w:rPr>
          <w:sz w:val="24"/>
          <w:szCs w:val="24"/>
          <w:lang w:eastAsia="ro-RO"/>
        </w:rPr>
        <w:t>, pentru locuitori și vizitatori, și, în același timp, un factor de dezvoltare economică a orașului.</w:t>
      </w:r>
    </w:p>
    <w:p w14:paraId="0F12B117" w14:textId="77777777" w:rsidR="00EB1855" w:rsidRPr="00DA5BE5" w:rsidRDefault="00EB1855" w:rsidP="00037BC7">
      <w:pPr>
        <w:ind w:firstLine="576"/>
        <w:jc w:val="both"/>
        <w:rPr>
          <w:sz w:val="24"/>
          <w:szCs w:val="24"/>
          <w:lang w:eastAsia="ro-RO"/>
        </w:rPr>
      </w:pPr>
    </w:p>
    <w:p w14:paraId="340970CA" w14:textId="5B208BB5" w:rsidR="000C1719" w:rsidRDefault="00783840" w:rsidP="00037BC7">
      <w:pPr>
        <w:ind w:firstLine="576"/>
        <w:jc w:val="both"/>
        <w:rPr>
          <w:bCs/>
          <w:sz w:val="24"/>
          <w:szCs w:val="24"/>
        </w:rPr>
      </w:pPr>
      <w:r w:rsidRPr="00DA5BE5">
        <w:rPr>
          <w:bCs/>
          <w:sz w:val="24"/>
          <w:szCs w:val="24"/>
        </w:rPr>
        <w:t>Î</w:t>
      </w:r>
      <w:r w:rsidR="000C1719" w:rsidRPr="00DA5BE5">
        <w:rPr>
          <w:bCs/>
          <w:sz w:val="24"/>
          <w:szCs w:val="24"/>
        </w:rPr>
        <w:t>n lipsa intervențiilor propuse, interesul  locuitorilor și turiștilor cu privire la acest subiect va continua să scadă</w:t>
      </w:r>
      <w:r w:rsidRPr="00DA5BE5">
        <w:rPr>
          <w:bCs/>
          <w:sz w:val="24"/>
          <w:szCs w:val="24"/>
        </w:rPr>
        <w:t xml:space="preserve"> ceea ce va </w:t>
      </w:r>
      <w:r w:rsidR="000C1719" w:rsidRPr="00DA5BE5">
        <w:rPr>
          <w:bCs/>
          <w:sz w:val="24"/>
          <w:szCs w:val="24"/>
        </w:rPr>
        <w:t xml:space="preserve">conduce și la </w:t>
      </w:r>
      <w:r w:rsidRPr="00DA5BE5">
        <w:rPr>
          <w:bCs/>
          <w:sz w:val="24"/>
          <w:szCs w:val="24"/>
        </w:rPr>
        <w:t>stagnarea</w:t>
      </w:r>
      <w:r w:rsidR="000C1719" w:rsidRPr="00DA5BE5">
        <w:rPr>
          <w:bCs/>
          <w:sz w:val="24"/>
          <w:szCs w:val="24"/>
        </w:rPr>
        <w:t xml:space="preserve"> potențialului economic al zonei și al orașului. </w:t>
      </w:r>
    </w:p>
    <w:p w14:paraId="0A9C7C1E" w14:textId="77777777" w:rsidR="00EB1855" w:rsidRPr="00DA5BE5" w:rsidRDefault="00EB1855" w:rsidP="00037BC7">
      <w:pPr>
        <w:ind w:firstLine="576"/>
        <w:jc w:val="both"/>
        <w:rPr>
          <w:bCs/>
          <w:sz w:val="24"/>
          <w:szCs w:val="24"/>
        </w:rPr>
      </w:pPr>
    </w:p>
    <w:p w14:paraId="6938D01E" w14:textId="30524AD0" w:rsidR="007E0CBC" w:rsidRDefault="00DA0B47" w:rsidP="00037BC7">
      <w:pPr>
        <w:ind w:firstLine="576"/>
        <w:jc w:val="both"/>
        <w:rPr>
          <w:bCs/>
          <w:sz w:val="24"/>
          <w:szCs w:val="24"/>
        </w:rPr>
      </w:pPr>
      <w:r w:rsidRPr="00DA5BE5">
        <w:rPr>
          <w:bCs/>
          <w:sz w:val="24"/>
          <w:szCs w:val="24"/>
        </w:rPr>
        <w:t xml:space="preserve">În acest </w:t>
      </w:r>
      <w:r w:rsidR="007E0CBC" w:rsidRPr="00DA5BE5">
        <w:rPr>
          <w:bCs/>
          <w:sz w:val="24"/>
          <w:szCs w:val="24"/>
        </w:rPr>
        <w:t>sens</w:t>
      </w:r>
      <w:r w:rsidR="00D66327" w:rsidRPr="00DA5BE5">
        <w:rPr>
          <w:bCs/>
          <w:sz w:val="24"/>
          <w:szCs w:val="24"/>
        </w:rPr>
        <w:t>,</w:t>
      </w:r>
      <w:r w:rsidRPr="00DA5BE5">
        <w:rPr>
          <w:bCs/>
          <w:sz w:val="24"/>
          <w:szCs w:val="24"/>
        </w:rPr>
        <w:t xml:space="preserve"> a fost demarată</w:t>
      </w:r>
      <w:r w:rsidR="000C263F" w:rsidRPr="00DA5BE5">
        <w:rPr>
          <w:bCs/>
          <w:sz w:val="24"/>
          <w:szCs w:val="24"/>
        </w:rPr>
        <w:t xml:space="preserve"> procedura</w:t>
      </w:r>
      <w:r w:rsidRPr="00DA5BE5">
        <w:rPr>
          <w:bCs/>
          <w:sz w:val="24"/>
          <w:szCs w:val="24"/>
        </w:rPr>
        <w:t xml:space="preserve"> de contractare a </w:t>
      </w:r>
      <w:r w:rsidR="000C263F" w:rsidRPr="00DA5BE5">
        <w:rPr>
          <w:bCs/>
          <w:sz w:val="24"/>
          <w:szCs w:val="24"/>
        </w:rPr>
        <w:t>serviciilor de proiectare pentru obiectivul de investiție publică</w:t>
      </w:r>
      <w:r w:rsidR="00675F9B" w:rsidRPr="00DA5BE5">
        <w:rPr>
          <w:bCs/>
          <w:sz w:val="24"/>
          <w:szCs w:val="24"/>
        </w:rPr>
        <w:t xml:space="preserve"> din cadrul proiectului</w:t>
      </w:r>
      <w:r w:rsidR="000C263F" w:rsidRPr="00DA5BE5">
        <w:rPr>
          <w:bCs/>
          <w:sz w:val="24"/>
          <w:szCs w:val="24"/>
        </w:rPr>
        <w:t xml:space="preserve">: „Timișoara Capitală Europeană a Culturii: </w:t>
      </w:r>
      <w:r w:rsidR="000C263F" w:rsidRPr="00DA5BE5">
        <w:rPr>
          <w:bCs/>
          <w:sz w:val="24"/>
          <w:szCs w:val="24"/>
        </w:rPr>
        <w:lastRenderedPageBreak/>
        <w:t>Memorialul Revoluției-</w:t>
      </w:r>
      <w:r w:rsidR="00292215" w:rsidRPr="00DA5BE5">
        <w:rPr>
          <w:bCs/>
          <w:sz w:val="24"/>
          <w:szCs w:val="24"/>
        </w:rPr>
        <w:t>Decembrie</w:t>
      </w:r>
      <w:r w:rsidR="000C263F" w:rsidRPr="00DA5BE5">
        <w:rPr>
          <w:bCs/>
          <w:sz w:val="24"/>
          <w:szCs w:val="24"/>
        </w:rPr>
        <w:t xml:space="preserve"> 1989” și se fac demersuri pentru obţinerea unei finanțări pentru realizarea acestuia în cadrul  Planului Național de Redresare și Reziliență (PNRR) care reprezintă o oportunitate pentru Municipiul Timişoara de accesare a fondurilor europene alocate prin pregătirea de proiecte mature pentru perioada de programare 2020-2026. </w:t>
      </w:r>
    </w:p>
    <w:p w14:paraId="600CE514" w14:textId="69BD1019" w:rsidR="00EB1855" w:rsidRDefault="00EB1855" w:rsidP="00037BC7">
      <w:pPr>
        <w:ind w:firstLine="576"/>
        <w:jc w:val="both"/>
        <w:rPr>
          <w:bCs/>
          <w:sz w:val="24"/>
          <w:szCs w:val="24"/>
        </w:rPr>
      </w:pPr>
    </w:p>
    <w:p w14:paraId="33D7E687" w14:textId="721686FC" w:rsidR="00EB1855" w:rsidRDefault="00B20E5E" w:rsidP="00037BC7">
      <w:pPr>
        <w:ind w:firstLine="576"/>
        <w:jc w:val="both"/>
        <w:rPr>
          <w:bCs/>
          <w:sz w:val="24"/>
          <w:szCs w:val="24"/>
        </w:rPr>
      </w:pPr>
      <w:r>
        <w:rPr>
          <w:bCs/>
          <w:sz w:val="24"/>
          <w:szCs w:val="24"/>
        </w:rPr>
        <w:t xml:space="preserve">Depunerea cererii de finanțare </w:t>
      </w:r>
      <w:r w:rsidRPr="00B81E57">
        <w:rPr>
          <w:sz w:val="24"/>
          <w:szCs w:val="24"/>
          <w:lang w:eastAsia="ro-RO"/>
        </w:rPr>
        <w:t xml:space="preserve">„Timișoara Capitală Europeană a Culturii: Memorialul Revoluției-decembrie 1989”, </w:t>
      </w:r>
      <w:r>
        <w:rPr>
          <w:sz w:val="24"/>
          <w:szCs w:val="24"/>
          <w:lang w:eastAsia="ro-RO"/>
        </w:rPr>
        <w:t xml:space="preserve"> în cadrul apelului de proiecte </w:t>
      </w:r>
      <w:r w:rsidRPr="00B20E5E">
        <w:rPr>
          <w:sz w:val="24"/>
          <w:szCs w:val="24"/>
          <w:lang w:eastAsia="ro-RO"/>
        </w:rPr>
        <w:t>PNRR/2022/C11/MIPE/I2./</w:t>
      </w:r>
      <w:r>
        <w:rPr>
          <w:sz w:val="24"/>
          <w:szCs w:val="24"/>
          <w:lang w:eastAsia="ro-RO"/>
        </w:rPr>
        <w:t xml:space="preserve"> </w:t>
      </w:r>
      <w:r w:rsidRPr="00B20E5E">
        <w:rPr>
          <w:sz w:val="24"/>
          <w:szCs w:val="24"/>
          <w:lang w:eastAsia="ro-RO"/>
        </w:rPr>
        <w:t>Modernizarea/crearea de muzee și memoriale</w:t>
      </w:r>
      <w:r>
        <w:rPr>
          <w:sz w:val="24"/>
          <w:szCs w:val="24"/>
          <w:lang w:eastAsia="ro-RO"/>
        </w:rPr>
        <w:t xml:space="preserve">, </w:t>
      </w:r>
      <w:r>
        <w:rPr>
          <w:bCs/>
          <w:sz w:val="24"/>
          <w:szCs w:val="24"/>
        </w:rPr>
        <w:t xml:space="preserve">a fost aprobată prin HCLMT nr. 339/12.07.2022. </w:t>
      </w:r>
    </w:p>
    <w:p w14:paraId="65457139" w14:textId="77777777" w:rsidR="00B20E5E" w:rsidRPr="00DA5BE5" w:rsidRDefault="00B20E5E" w:rsidP="00037BC7">
      <w:pPr>
        <w:ind w:firstLine="576"/>
        <w:jc w:val="both"/>
        <w:rPr>
          <w:bCs/>
          <w:sz w:val="24"/>
          <w:szCs w:val="24"/>
        </w:rPr>
      </w:pPr>
    </w:p>
    <w:p w14:paraId="43950DD4" w14:textId="024BFA54" w:rsidR="00C83BC8" w:rsidRDefault="00C83BC8" w:rsidP="00037BC7">
      <w:pPr>
        <w:ind w:firstLine="540"/>
        <w:jc w:val="both"/>
        <w:rPr>
          <w:sz w:val="24"/>
          <w:szCs w:val="24"/>
        </w:rPr>
      </w:pPr>
      <w:r w:rsidRPr="00DA5BE5">
        <w:rPr>
          <w:bCs/>
          <w:sz w:val="24"/>
          <w:szCs w:val="24"/>
        </w:rPr>
        <w:t xml:space="preserve">Valoarea </w:t>
      </w:r>
      <w:r w:rsidRPr="00DA5BE5">
        <w:rPr>
          <w:sz w:val="24"/>
          <w:szCs w:val="24"/>
        </w:rPr>
        <w:t>maximă eligibilă</w:t>
      </w:r>
      <w:r w:rsidR="00A65543" w:rsidRPr="00DA5BE5">
        <w:rPr>
          <w:sz w:val="24"/>
          <w:szCs w:val="24"/>
        </w:rPr>
        <w:t xml:space="preserve"> care se poate accesa</w:t>
      </w:r>
      <w:r w:rsidRPr="00DA5BE5">
        <w:rPr>
          <w:bCs/>
          <w:sz w:val="24"/>
          <w:szCs w:val="24"/>
        </w:rPr>
        <w:t xml:space="preserve"> pentru implementarea proiectului este de </w:t>
      </w:r>
      <w:r w:rsidRPr="00DA5BE5">
        <w:rPr>
          <w:sz w:val="24"/>
          <w:szCs w:val="24"/>
        </w:rPr>
        <w:t>18.799.791,30 lei, fără TVA, echivalentul a 3,819 mil. Euro fără TVA, cursul valutar utilizat fiind cursul Inforeuro aferent lunii mai 2021: 1 euro=4,9227 lei.</w:t>
      </w:r>
    </w:p>
    <w:p w14:paraId="37CF20F0" w14:textId="202F686A" w:rsidR="00B81E57" w:rsidRDefault="00B81E57" w:rsidP="00037BC7">
      <w:pPr>
        <w:ind w:firstLine="540"/>
        <w:jc w:val="both"/>
        <w:rPr>
          <w:sz w:val="24"/>
          <w:szCs w:val="24"/>
        </w:rPr>
      </w:pPr>
    </w:p>
    <w:p w14:paraId="48404C51" w14:textId="05780F6B" w:rsidR="00C83BC8" w:rsidRPr="00481BF3" w:rsidRDefault="00C83BC8" w:rsidP="00037BC7">
      <w:pPr>
        <w:ind w:firstLine="540"/>
        <w:jc w:val="both"/>
        <w:rPr>
          <w:sz w:val="24"/>
          <w:szCs w:val="24"/>
        </w:rPr>
      </w:pPr>
      <w:r w:rsidRPr="00481BF3">
        <w:rPr>
          <w:rFonts w:eastAsia="Calibri"/>
          <w:sz w:val="24"/>
          <w:szCs w:val="24"/>
        </w:rPr>
        <w:t xml:space="preserve">Sumele reprezentând cheltuieli neeligibile și/sau conexe care asigură implementarea proiectului </w:t>
      </w:r>
      <w:r w:rsidRPr="00481BF3">
        <w:rPr>
          <w:sz w:val="24"/>
          <w:szCs w:val="24"/>
        </w:rPr>
        <w:t>„Timișoara Capitală Europeană a Culturii: Memorialul Revoluției-</w:t>
      </w:r>
      <w:r w:rsidR="00D66327" w:rsidRPr="00481BF3">
        <w:rPr>
          <w:sz w:val="24"/>
          <w:szCs w:val="24"/>
        </w:rPr>
        <w:t>d</w:t>
      </w:r>
      <w:r w:rsidR="00292215" w:rsidRPr="00481BF3">
        <w:rPr>
          <w:sz w:val="24"/>
          <w:szCs w:val="24"/>
        </w:rPr>
        <w:t>ecembrie</w:t>
      </w:r>
      <w:r w:rsidRPr="00481BF3">
        <w:rPr>
          <w:sz w:val="24"/>
          <w:szCs w:val="24"/>
        </w:rPr>
        <w:t xml:space="preserve"> 1989”, astfel cum acestea vor rezulta din documentațiile tehnico-economice/contractul de lucrări derulate în etapa de implementare, vor fi suportate din bugetul local al Municipiului Timișoara.</w:t>
      </w:r>
    </w:p>
    <w:p w14:paraId="69F426F4" w14:textId="5687497D" w:rsidR="00330687" w:rsidRPr="00481BF3" w:rsidRDefault="00330687" w:rsidP="00037BC7">
      <w:pPr>
        <w:ind w:firstLine="540"/>
        <w:jc w:val="both"/>
        <w:rPr>
          <w:sz w:val="24"/>
          <w:szCs w:val="24"/>
        </w:rPr>
      </w:pPr>
    </w:p>
    <w:p w14:paraId="442CD53A" w14:textId="4509C0BD" w:rsidR="00B81E57" w:rsidRDefault="00330687" w:rsidP="00037BC7">
      <w:pPr>
        <w:ind w:firstLine="540"/>
        <w:jc w:val="both"/>
        <w:rPr>
          <w:sz w:val="24"/>
          <w:szCs w:val="24"/>
        </w:rPr>
      </w:pPr>
      <w:bookmarkStart w:id="0" w:name="_Hlk114563057"/>
      <w:r w:rsidRPr="00481BF3">
        <w:rPr>
          <w:sz w:val="24"/>
          <w:szCs w:val="24"/>
        </w:rPr>
        <w:t xml:space="preserve">Ulterior depunerii proiectului, valoarea neeligibilă a proiectului a fost majorată </w:t>
      </w:r>
      <w:r w:rsidR="00481BF3" w:rsidRPr="00481BF3">
        <w:rPr>
          <w:sz w:val="24"/>
          <w:szCs w:val="24"/>
        </w:rPr>
        <w:t>c</w:t>
      </w:r>
      <w:r w:rsidR="00B81E57" w:rsidRPr="00481BF3">
        <w:rPr>
          <w:sz w:val="24"/>
          <w:szCs w:val="24"/>
        </w:rPr>
        <w:t xml:space="preserve">onform prevederilor instrucțiunii nr. 3/17.08.2022 a Direcției Generale Implementare PNRR și Instrumente Financiare privind interpretarea unitară a eligibilității sumelor prevăzute în anumite linii bugetare cuprinse în bugetul cererilor de finanțare depuse în cadrul Componentei C11 - Turism și cultură Investiția I2. Modernizarea/crearea de muzee și memoriale - PNRR: Art.1 Cheltuielile cu auditul pentru proiect sunt obligatorii și neeligibile, urmând a fi suportate de către solicitanți. </w:t>
      </w:r>
    </w:p>
    <w:bookmarkEnd w:id="0"/>
    <w:p w14:paraId="7016EDEA" w14:textId="3AB2269D" w:rsidR="00481BF3" w:rsidRDefault="00481BF3" w:rsidP="00037BC7">
      <w:pPr>
        <w:ind w:firstLine="540"/>
        <w:jc w:val="both"/>
        <w:rPr>
          <w:sz w:val="24"/>
          <w:szCs w:val="24"/>
        </w:rPr>
      </w:pPr>
    </w:p>
    <w:p w14:paraId="65BC9225" w14:textId="07227EE3" w:rsidR="00C83BC8" w:rsidRPr="00481BF3" w:rsidRDefault="00481BF3" w:rsidP="00037BC7">
      <w:pPr>
        <w:ind w:firstLine="576"/>
        <w:jc w:val="both"/>
        <w:rPr>
          <w:bCs/>
          <w:sz w:val="24"/>
          <w:szCs w:val="24"/>
        </w:rPr>
      </w:pPr>
      <w:bookmarkStart w:id="1" w:name="_Hlk114563123"/>
      <w:r w:rsidRPr="00481BF3">
        <w:rPr>
          <w:sz w:val="24"/>
          <w:szCs w:val="24"/>
        </w:rPr>
        <w:t xml:space="preserve">Având în vedere </w:t>
      </w:r>
      <w:r w:rsidR="0081426F" w:rsidRPr="0011629B">
        <w:t>Notificare cu privire la începerea procedurilor de contractare a proiectului</w:t>
      </w:r>
      <w:r w:rsidR="0081426F" w:rsidRPr="00481BF3">
        <w:rPr>
          <w:sz w:val="24"/>
          <w:szCs w:val="24"/>
        </w:rPr>
        <w:t xml:space="preserve"> </w:t>
      </w:r>
      <w:r w:rsidRPr="00481BF3">
        <w:rPr>
          <w:sz w:val="24"/>
          <w:szCs w:val="24"/>
        </w:rPr>
        <w:t>Timișoara Capitală Europeană a Culturii: Memorialul Revoluției-decembrie 1989</w:t>
      </w:r>
      <w:r w:rsidR="00A6798F">
        <w:rPr>
          <w:sz w:val="24"/>
          <w:szCs w:val="24"/>
        </w:rPr>
        <w:t xml:space="preserve"> </w:t>
      </w:r>
      <w:r w:rsidR="002445F6">
        <w:t xml:space="preserve">înregistrată la Municipiul Timișoara cu numărul </w:t>
      </w:r>
      <w:r w:rsidR="002445F6" w:rsidRPr="00D5107E">
        <w:t>CDD2022-403/20.09.2022</w:t>
      </w:r>
      <w:r w:rsidR="002445F6">
        <w:t xml:space="preserve"> </w:t>
      </w:r>
      <w:r>
        <w:rPr>
          <w:sz w:val="24"/>
          <w:szCs w:val="24"/>
        </w:rPr>
        <w:t>ș</w:t>
      </w:r>
      <w:r w:rsidRPr="00481BF3">
        <w:rPr>
          <w:sz w:val="24"/>
          <w:szCs w:val="24"/>
        </w:rPr>
        <w:t>i luând în considerare corectarea bugetului proiectului în conformitate cu prevederile Instruc</w:t>
      </w:r>
      <w:r>
        <w:rPr>
          <w:sz w:val="24"/>
          <w:szCs w:val="24"/>
        </w:rPr>
        <w:t>ț</w:t>
      </w:r>
      <w:r w:rsidRPr="00481BF3">
        <w:rPr>
          <w:sz w:val="24"/>
          <w:szCs w:val="24"/>
        </w:rPr>
        <w:t>iunii DGIPNRRIF nr. 3/11.08.2022 privind interpretarea unitară a eligibilității sumelor prevăzute în anumite linii bugetare cuprinse în bugetul cererilor de finanțare depuse în cadrul Componentei C11 - Turism și cultură Investiția 2 – Modernizarea/crearea de muzee și memoriale – PNRR și a prevederilor Ordinului nr. 2175/31.08.2022 pentru modificarea si completarea Ghidului specific – Condiții de accesare a fondurilor europene aferente PNRR în cadrul apelului de proiecte Pilonul IV – Coeziunea socială și teritorială, Componenta C11 – Turism și cultură, Investiția I2 – Modernizarea/crearea de muzee și memoriale,</w:t>
      </w:r>
    </w:p>
    <w:p w14:paraId="050328BA" w14:textId="2ECE6D33" w:rsidR="009F5A5A" w:rsidRDefault="009F5A5A" w:rsidP="00037BC7">
      <w:pPr>
        <w:jc w:val="both"/>
        <w:rPr>
          <w:bCs/>
          <w:sz w:val="24"/>
          <w:szCs w:val="24"/>
        </w:rPr>
      </w:pPr>
    </w:p>
    <w:bookmarkEnd w:id="1"/>
    <w:p w14:paraId="403FFE1E" w14:textId="77777777" w:rsidR="00EB1855" w:rsidRPr="00DA5BE5" w:rsidRDefault="00EB1855" w:rsidP="00037BC7">
      <w:pPr>
        <w:jc w:val="both"/>
        <w:rPr>
          <w:bCs/>
          <w:sz w:val="24"/>
          <w:szCs w:val="24"/>
        </w:rPr>
      </w:pPr>
    </w:p>
    <w:p w14:paraId="653E16FF" w14:textId="77777777" w:rsidR="001A422D" w:rsidRPr="00DA5BE5" w:rsidRDefault="001A422D" w:rsidP="00037BC7">
      <w:pPr>
        <w:ind w:firstLine="540"/>
        <w:jc w:val="center"/>
        <w:rPr>
          <w:b/>
          <w:sz w:val="24"/>
          <w:szCs w:val="24"/>
        </w:rPr>
      </w:pPr>
      <w:r w:rsidRPr="00DA5BE5">
        <w:rPr>
          <w:b/>
          <w:sz w:val="24"/>
          <w:szCs w:val="24"/>
        </w:rPr>
        <w:t>PROPUNEM:</w:t>
      </w:r>
    </w:p>
    <w:p w14:paraId="1A053404" w14:textId="77777777" w:rsidR="00037BC7" w:rsidRPr="00DA5BE5" w:rsidRDefault="00037BC7" w:rsidP="00037BC7">
      <w:pPr>
        <w:jc w:val="both"/>
        <w:rPr>
          <w:b/>
          <w:sz w:val="24"/>
          <w:szCs w:val="24"/>
        </w:rPr>
      </w:pPr>
    </w:p>
    <w:p w14:paraId="5AFF94A1" w14:textId="3C8D76D4" w:rsidR="000B5B83" w:rsidRDefault="000B5B83" w:rsidP="000B5B83">
      <w:pPr>
        <w:pStyle w:val="ListParagraph"/>
        <w:numPr>
          <w:ilvl w:val="0"/>
          <w:numId w:val="11"/>
        </w:numPr>
        <w:jc w:val="both"/>
        <w:rPr>
          <w:sz w:val="24"/>
        </w:rPr>
      </w:pPr>
      <w:r w:rsidRPr="000B5B83">
        <w:rPr>
          <w:sz w:val="24"/>
        </w:rPr>
        <w:t xml:space="preserve">Modificarea Art. 2 din Hotărârea Consiliului Local nr. 339/12.07.2022 </w:t>
      </w:r>
      <w:r w:rsidRPr="000B5B83">
        <w:rPr>
          <w:i/>
          <w:sz w:val="24"/>
        </w:rPr>
        <w:t xml:space="preserve">privind aprobarea depunerii proiectului „Timișoara Capitală Europeană a Culturii: Memorialul Revoluției-decembrie 1989”, a descrierii sumare a investiției propuse prin proiect, precum </w:t>
      </w:r>
      <w:proofErr w:type="spellStart"/>
      <w:r w:rsidRPr="000B5B83">
        <w:rPr>
          <w:i/>
          <w:sz w:val="24"/>
        </w:rPr>
        <w:t>şi</w:t>
      </w:r>
      <w:proofErr w:type="spellEnd"/>
      <w:r w:rsidRPr="000B5B83">
        <w:rPr>
          <w:i/>
          <w:sz w:val="24"/>
        </w:rPr>
        <w:t xml:space="preserve"> a cheltuielilor legate de proiect în vederea finanțării prin Planul Național Redresare și Reziliență 2020-2026, Componenta C11-Turism și Cultură, Investiția I2 depunerea proiectului „Timișoara Capitală Europeană a Culturii: Memorialul Revoluției-decembrie 1989” în vederea finanțării prin Planul Național Redresare și Reziliență 2020-2026, </w:t>
      </w:r>
      <w:r w:rsidRPr="000B5B83">
        <w:rPr>
          <w:i/>
          <w:sz w:val="24"/>
        </w:rPr>
        <w:lastRenderedPageBreak/>
        <w:t xml:space="preserve">Componenta C11-Turism și Cultură, Investiția I2 </w:t>
      </w:r>
      <w:r w:rsidRPr="000B5B83">
        <w:rPr>
          <w:rFonts w:eastAsia="Calibri"/>
          <w:bCs/>
          <w:i/>
          <w:color w:val="000000"/>
          <w:sz w:val="24"/>
        </w:rPr>
        <w:t>– Modernizarea/crearea de muzee și memoriale</w:t>
      </w:r>
      <w:r w:rsidRPr="000B5B83">
        <w:rPr>
          <w:sz w:val="24"/>
        </w:rPr>
        <w:t>, după cum urmează:</w:t>
      </w:r>
    </w:p>
    <w:p w14:paraId="1A148566" w14:textId="77777777" w:rsidR="000B5B83" w:rsidRPr="000B5B83" w:rsidRDefault="000B5B83" w:rsidP="000B5B83">
      <w:pPr>
        <w:pStyle w:val="ListParagraph"/>
        <w:jc w:val="both"/>
        <w:rPr>
          <w:sz w:val="24"/>
        </w:rPr>
      </w:pPr>
    </w:p>
    <w:p w14:paraId="43B01E10" w14:textId="10523D4B" w:rsidR="00A20AC4" w:rsidRPr="00822934" w:rsidRDefault="000B5B83" w:rsidP="00A20AC4">
      <w:pPr>
        <w:jc w:val="both"/>
        <w:rPr>
          <w:sz w:val="24"/>
        </w:rPr>
      </w:pPr>
      <w:r w:rsidRPr="00822934">
        <w:rPr>
          <w:sz w:val="24"/>
        </w:rPr>
        <w:t>”</w:t>
      </w:r>
      <w:r w:rsidR="00A20AC4" w:rsidRPr="00A20AC4">
        <w:rPr>
          <w:rFonts w:eastAsia="Calibri"/>
          <w:bCs/>
          <w:color w:val="000000"/>
          <w:sz w:val="24"/>
        </w:rPr>
        <w:t xml:space="preserve"> </w:t>
      </w:r>
      <w:r w:rsidR="00A20AC4" w:rsidRPr="005C12F3">
        <w:rPr>
          <w:rFonts w:eastAsia="Calibri"/>
          <w:bCs/>
          <w:color w:val="000000"/>
          <w:sz w:val="24"/>
        </w:rPr>
        <w:t>Art. 2:</w:t>
      </w:r>
      <w:r w:rsidR="00A20AC4" w:rsidRPr="00822934">
        <w:rPr>
          <w:rFonts w:eastAsia="Calibri"/>
          <w:b/>
          <w:bCs/>
          <w:color w:val="000000"/>
          <w:sz w:val="24"/>
        </w:rPr>
        <w:t xml:space="preserve"> </w:t>
      </w:r>
      <w:r w:rsidR="00A20AC4" w:rsidRPr="00822934">
        <w:rPr>
          <w:sz w:val="24"/>
        </w:rPr>
        <w:t>Se aprobă valoarea totală a proiectului cu titlul „Timișoara Capitală Europeană a Culturii: Memorialul Revoluției-decembrie 1989”, în cuantum de 22.353.29</w:t>
      </w:r>
      <w:r w:rsidR="00A20AC4">
        <w:rPr>
          <w:sz w:val="24"/>
        </w:rPr>
        <w:t>8</w:t>
      </w:r>
      <w:r w:rsidR="00A20AC4" w:rsidRPr="00822934">
        <w:rPr>
          <w:sz w:val="24"/>
        </w:rPr>
        <w:t>,72 lei, din care:</w:t>
      </w:r>
    </w:p>
    <w:p w14:paraId="090863AC" w14:textId="77777777" w:rsidR="00A20AC4" w:rsidRDefault="00A20AC4" w:rsidP="00A20AC4">
      <w:pPr>
        <w:numPr>
          <w:ilvl w:val="0"/>
          <w:numId w:val="10"/>
        </w:numPr>
        <w:spacing w:before="120" w:after="120"/>
        <w:jc w:val="both"/>
        <w:rPr>
          <w:sz w:val="24"/>
        </w:rPr>
      </w:pPr>
      <w:r w:rsidRPr="00822934">
        <w:rPr>
          <w:sz w:val="24"/>
        </w:rPr>
        <w:t xml:space="preserve">18.799.791,00 lei </w:t>
      </w:r>
      <w:r w:rsidRPr="00770DC7">
        <w:rPr>
          <w:sz w:val="24"/>
        </w:rPr>
        <w:t xml:space="preserve">fără TVA (echivalentul a 3,819 mil. Euro fără TVA, cursul valutar utilizat fiind cursul </w:t>
      </w:r>
      <w:proofErr w:type="spellStart"/>
      <w:r w:rsidRPr="00770DC7">
        <w:rPr>
          <w:sz w:val="24"/>
        </w:rPr>
        <w:t>Inforeuro</w:t>
      </w:r>
      <w:proofErr w:type="spellEnd"/>
      <w:r w:rsidRPr="00770DC7">
        <w:rPr>
          <w:sz w:val="24"/>
        </w:rPr>
        <w:t xml:space="preserve"> aferent lunii mai 2021: 1 euro=4,9227 lei), respectiv 22.341.398,72 lei </w:t>
      </w:r>
      <w:r w:rsidRPr="00822934">
        <w:rPr>
          <w:sz w:val="24"/>
        </w:rPr>
        <w:t>inclusiv TVA aferent reprezintă valoare eligibilă;</w:t>
      </w:r>
    </w:p>
    <w:p w14:paraId="76CD8441" w14:textId="3D47DD7A" w:rsidR="000B5B83" w:rsidRPr="00A20AC4" w:rsidRDefault="00A20AC4" w:rsidP="00A20AC4">
      <w:pPr>
        <w:numPr>
          <w:ilvl w:val="0"/>
          <w:numId w:val="10"/>
        </w:numPr>
        <w:spacing w:before="120" w:after="120"/>
        <w:jc w:val="both"/>
        <w:rPr>
          <w:sz w:val="24"/>
        </w:rPr>
      </w:pPr>
      <w:r w:rsidRPr="00A20AC4">
        <w:rPr>
          <w:sz w:val="24"/>
        </w:rPr>
        <w:t>10.000,00 lei fără TVA, respectiv 11.900,00 lei inclusiv TVA aferent, reprezintă cheltuieli neeligibile</w:t>
      </w:r>
      <w:r w:rsidR="000B5B83" w:rsidRPr="00A20AC4">
        <w:rPr>
          <w:sz w:val="24"/>
        </w:rPr>
        <w:t>.”</w:t>
      </w:r>
    </w:p>
    <w:p w14:paraId="4557B483" w14:textId="3A82874D" w:rsidR="000B5B83" w:rsidRPr="00822934" w:rsidRDefault="000B5B83" w:rsidP="000B5B83">
      <w:pPr>
        <w:ind w:firstLine="360"/>
        <w:jc w:val="both"/>
        <w:rPr>
          <w:rFonts w:eastAsia="Calibri"/>
          <w:bCs/>
          <w:sz w:val="24"/>
          <w:lang w:val="en-US"/>
        </w:rPr>
      </w:pPr>
      <w:proofErr w:type="spellStart"/>
      <w:r w:rsidRPr="00822934">
        <w:rPr>
          <w:rFonts w:eastAsia="Calibri"/>
          <w:bCs/>
          <w:sz w:val="24"/>
          <w:lang w:val="en-US"/>
        </w:rPr>
        <w:t>Celelalte</w:t>
      </w:r>
      <w:proofErr w:type="spellEnd"/>
      <w:r w:rsidRPr="00822934">
        <w:rPr>
          <w:rFonts w:eastAsia="Calibri"/>
          <w:bCs/>
          <w:sz w:val="24"/>
          <w:lang w:val="en-US"/>
        </w:rPr>
        <w:t xml:space="preserve"> </w:t>
      </w:r>
      <w:proofErr w:type="spellStart"/>
      <w:r w:rsidRPr="00822934">
        <w:rPr>
          <w:rFonts w:eastAsia="Calibri"/>
          <w:bCs/>
          <w:sz w:val="24"/>
          <w:lang w:val="en-US"/>
        </w:rPr>
        <w:t>prevederi</w:t>
      </w:r>
      <w:proofErr w:type="spellEnd"/>
      <w:r w:rsidRPr="00822934">
        <w:rPr>
          <w:rFonts w:eastAsia="Calibri"/>
          <w:bCs/>
          <w:sz w:val="24"/>
          <w:lang w:val="en-US"/>
        </w:rPr>
        <w:t xml:space="preserve"> ale </w:t>
      </w:r>
      <w:proofErr w:type="spellStart"/>
      <w:r w:rsidRPr="00822934">
        <w:rPr>
          <w:rFonts w:eastAsia="Calibri"/>
          <w:bCs/>
          <w:sz w:val="24"/>
          <w:lang w:val="en-US"/>
        </w:rPr>
        <w:t>Hotărârii</w:t>
      </w:r>
      <w:proofErr w:type="spellEnd"/>
      <w:r w:rsidRPr="00822934">
        <w:rPr>
          <w:rFonts w:eastAsia="Calibri"/>
          <w:bCs/>
          <w:sz w:val="24"/>
          <w:lang w:val="en-US"/>
        </w:rPr>
        <w:t xml:space="preserve"> </w:t>
      </w:r>
      <w:proofErr w:type="spellStart"/>
      <w:r w:rsidRPr="00822934">
        <w:rPr>
          <w:rFonts w:eastAsia="Calibri"/>
          <w:bCs/>
          <w:sz w:val="24"/>
          <w:lang w:val="en-US"/>
        </w:rPr>
        <w:t>Consiliului</w:t>
      </w:r>
      <w:proofErr w:type="spellEnd"/>
      <w:r w:rsidRPr="00822934">
        <w:rPr>
          <w:rFonts w:eastAsia="Calibri"/>
          <w:bCs/>
          <w:sz w:val="24"/>
          <w:lang w:val="en-US"/>
        </w:rPr>
        <w:t xml:space="preserve"> Local al </w:t>
      </w:r>
      <w:proofErr w:type="spellStart"/>
      <w:r w:rsidRPr="00822934">
        <w:rPr>
          <w:rFonts w:eastAsia="Calibri"/>
          <w:bCs/>
          <w:sz w:val="24"/>
          <w:lang w:val="en-US"/>
        </w:rPr>
        <w:t>Municipiului</w:t>
      </w:r>
      <w:proofErr w:type="spellEnd"/>
      <w:r w:rsidRPr="00822934">
        <w:rPr>
          <w:rFonts w:eastAsia="Calibri"/>
          <w:bCs/>
          <w:sz w:val="24"/>
          <w:lang w:val="en-US"/>
        </w:rPr>
        <w:t xml:space="preserve"> Timisoara nr. </w:t>
      </w:r>
      <w:r w:rsidRPr="00822934">
        <w:rPr>
          <w:sz w:val="24"/>
        </w:rPr>
        <w:t xml:space="preserve">339/12.07.2022 </w:t>
      </w:r>
      <w:proofErr w:type="spellStart"/>
      <w:r w:rsidRPr="00822934">
        <w:rPr>
          <w:rFonts w:eastAsia="Calibri"/>
          <w:bCs/>
          <w:sz w:val="24"/>
          <w:lang w:val="en-US"/>
        </w:rPr>
        <w:t>rămân</w:t>
      </w:r>
      <w:proofErr w:type="spellEnd"/>
      <w:r w:rsidRPr="00822934">
        <w:rPr>
          <w:rFonts w:eastAsia="Calibri"/>
          <w:bCs/>
          <w:sz w:val="24"/>
          <w:lang w:val="en-US"/>
        </w:rPr>
        <w:t xml:space="preserve"> </w:t>
      </w:r>
      <w:proofErr w:type="spellStart"/>
      <w:r w:rsidRPr="00822934">
        <w:rPr>
          <w:rFonts w:eastAsia="Calibri"/>
          <w:bCs/>
          <w:sz w:val="24"/>
          <w:lang w:val="en-US"/>
        </w:rPr>
        <w:t>nemodificate</w:t>
      </w:r>
      <w:proofErr w:type="spellEnd"/>
      <w:r w:rsidRPr="00822934">
        <w:rPr>
          <w:rFonts w:eastAsia="Calibri"/>
          <w:bCs/>
          <w:sz w:val="24"/>
          <w:lang w:val="en-US"/>
        </w:rPr>
        <w:t>.</w:t>
      </w:r>
    </w:p>
    <w:p w14:paraId="0AC9EFB6" w14:textId="77777777" w:rsidR="00EB1855" w:rsidRDefault="00EB1855" w:rsidP="00EB1855">
      <w:pPr>
        <w:jc w:val="both"/>
        <w:rPr>
          <w:sz w:val="24"/>
          <w:szCs w:val="24"/>
        </w:rPr>
      </w:pPr>
    </w:p>
    <w:p w14:paraId="5D59096F" w14:textId="37B714CA" w:rsidR="00C42F73" w:rsidRPr="00DA5BE5" w:rsidRDefault="00C42F73" w:rsidP="00B20E5E">
      <w:pPr>
        <w:ind w:firstLine="720"/>
        <w:jc w:val="both"/>
        <w:rPr>
          <w:sz w:val="24"/>
          <w:szCs w:val="24"/>
        </w:rPr>
      </w:pPr>
      <w:r w:rsidRPr="00DA5BE5">
        <w:rPr>
          <w:sz w:val="24"/>
          <w:szCs w:val="24"/>
        </w:rPr>
        <w:t xml:space="preserve">Având în vedere prevederile legale expuse în prezentul raport, apreciem că proiectul de hotărâre </w:t>
      </w:r>
      <w:r w:rsidR="00C83BC8" w:rsidRPr="00DA5BE5">
        <w:rPr>
          <w:sz w:val="24"/>
          <w:szCs w:val="24"/>
        </w:rPr>
        <w:t xml:space="preserve">privind </w:t>
      </w:r>
      <w:r w:rsidR="00EB1855">
        <w:rPr>
          <w:sz w:val="24"/>
          <w:szCs w:val="24"/>
        </w:rPr>
        <w:t>modificarea HC</w:t>
      </w:r>
      <w:r w:rsidR="00B20E5E">
        <w:rPr>
          <w:sz w:val="24"/>
          <w:szCs w:val="24"/>
        </w:rPr>
        <w:t>L</w:t>
      </w:r>
      <w:r w:rsidR="00EB1855">
        <w:rPr>
          <w:sz w:val="24"/>
          <w:szCs w:val="24"/>
        </w:rPr>
        <w:t xml:space="preserve"> nr.</w:t>
      </w:r>
      <w:r w:rsidR="00B20E5E">
        <w:rPr>
          <w:sz w:val="24"/>
          <w:szCs w:val="24"/>
        </w:rPr>
        <w:t>339/12.07.2022</w:t>
      </w:r>
      <w:r w:rsidR="00EB1855">
        <w:rPr>
          <w:sz w:val="24"/>
          <w:szCs w:val="24"/>
        </w:rPr>
        <w:t xml:space="preserve"> privind </w:t>
      </w:r>
      <w:r w:rsidR="00C83BC8" w:rsidRPr="00DA5BE5">
        <w:rPr>
          <w:sz w:val="24"/>
          <w:szCs w:val="24"/>
        </w:rPr>
        <w:t>aprobarea depunerii proiectului „Timișoara Capitală Europeană a Culturii: Memorialul Revoluției-</w:t>
      </w:r>
      <w:r w:rsidR="00037BC7" w:rsidRPr="00DA5BE5">
        <w:rPr>
          <w:sz w:val="24"/>
          <w:szCs w:val="24"/>
        </w:rPr>
        <w:t xml:space="preserve"> </w:t>
      </w:r>
      <w:r w:rsidR="0098138E" w:rsidRPr="00DA5BE5">
        <w:rPr>
          <w:sz w:val="24"/>
          <w:szCs w:val="24"/>
        </w:rPr>
        <w:t>d</w:t>
      </w:r>
      <w:r w:rsidR="00292215" w:rsidRPr="00DA5BE5">
        <w:rPr>
          <w:sz w:val="24"/>
          <w:szCs w:val="24"/>
        </w:rPr>
        <w:t>ecembrie</w:t>
      </w:r>
      <w:r w:rsidR="00C83BC8" w:rsidRPr="00DA5BE5">
        <w:rPr>
          <w:sz w:val="24"/>
          <w:szCs w:val="24"/>
        </w:rPr>
        <w:t xml:space="preserve"> 1989”, a descrierii sumare a investiției propuse prin proiect, precum şi a cheltuielilor legate de proiect în vederea finanțării prin Planul Național Redresare și Reziliență</w:t>
      </w:r>
      <w:r w:rsidR="00A65543" w:rsidRPr="00DA5BE5">
        <w:rPr>
          <w:sz w:val="24"/>
          <w:szCs w:val="24"/>
        </w:rPr>
        <w:t xml:space="preserve"> 2020-2026</w:t>
      </w:r>
      <w:r w:rsidR="00C83BC8" w:rsidRPr="00DA5BE5">
        <w:rPr>
          <w:sz w:val="24"/>
          <w:szCs w:val="24"/>
        </w:rPr>
        <w:t>, Componenta C11-Turism și Cultură, Investiția I2</w:t>
      </w:r>
      <w:r w:rsidRPr="00DA5BE5">
        <w:rPr>
          <w:sz w:val="24"/>
          <w:szCs w:val="24"/>
        </w:rPr>
        <w:t xml:space="preserve">, îndeplinește condițiile pentru a fi supus dezbaterii și aprobării plenului consiliului local. </w:t>
      </w:r>
    </w:p>
    <w:p w14:paraId="3BCBBE17" w14:textId="77777777" w:rsidR="001A422D" w:rsidRPr="00DA5BE5" w:rsidRDefault="001A422D" w:rsidP="00037BC7">
      <w:pPr>
        <w:ind w:firstLine="720"/>
        <w:jc w:val="both"/>
        <w:rPr>
          <w:sz w:val="24"/>
          <w:szCs w:val="24"/>
        </w:rPr>
      </w:pPr>
    </w:p>
    <w:p w14:paraId="12485F3C" w14:textId="77777777" w:rsidR="00DA5BE5" w:rsidRPr="00DA5BE5" w:rsidRDefault="00DA5BE5" w:rsidP="00037BC7">
      <w:pPr>
        <w:ind w:firstLine="720"/>
        <w:jc w:val="both"/>
        <w:rPr>
          <w:sz w:val="24"/>
          <w:szCs w:val="24"/>
        </w:rPr>
      </w:pPr>
    </w:p>
    <w:p w14:paraId="7D7A4354" w14:textId="77777777" w:rsidR="00DA5BE5" w:rsidRPr="00DA5BE5" w:rsidRDefault="00DA5BE5" w:rsidP="00037BC7">
      <w:pPr>
        <w:ind w:firstLine="720"/>
        <w:jc w:val="both"/>
        <w:rPr>
          <w:sz w:val="24"/>
          <w:szCs w:val="24"/>
        </w:rPr>
      </w:pPr>
    </w:p>
    <w:p w14:paraId="06E269F0" w14:textId="77777777" w:rsidR="0039221B" w:rsidRPr="00DA5BE5" w:rsidRDefault="0039221B" w:rsidP="00037BC7">
      <w:pPr>
        <w:jc w:val="both"/>
        <w:rPr>
          <w:sz w:val="24"/>
          <w:szCs w:val="24"/>
        </w:rPr>
      </w:pPr>
    </w:p>
    <w:p w14:paraId="3706C998" w14:textId="59CD0931" w:rsidR="001A422D" w:rsidRPr="00DA5BE5" w:rsidRDefault="002976C4" w:rsidP="00EB1855">
      <w:pPr>
        <w:jc w:val="center"/>
        <w:rPr>
          <w:b/>
          <w:sz w:val="24"/>
          <w:szCs w:val="24"/>
        </w:rPr>
      </w:pPr>
      <w:r w:rsidRPr="00DA5BE5">
        <w:rPr>
          <w:b/>
          <w:sz w:val="24"/>
          <w:szCs w:val="24"/>
        </w:rPr>
        <w:t>Direcț</w:t>
      </w:r>
      <w:r w:rsidR="001A422D" w:rsidRPr="00DA5BE5">
        <w:rPr>
          <w:b/>
          <w:sz w:val="24"/>
          <w:szCs w:val="24"/>
        </w:rPr>
        <w:t xml:space="preserve">ia </w:t>
      </w:r>
      <w:r w:rsidR="0099628A" w:rsidRPr="00DA5BE5">
        <w:rPr>
          <w:b/>
          <w:sz w:val="24"/>
          <w:szCs w:val="24"/>
        </w:rPr>
        <w:t>Incubator de Proiecte</w:t>
      </w:r>
    </w:p>
    <w:p w14:paraId="65CBE2EA" w14:textId="29E68301" w:rsidR="00EB1855" w:rsidRDefault="00EB1855" w:rsidP="00EB1855">
      <w:pPr>
        <w:jc w:val="center"/>
        <w:rPr>
          <w:b/>
          <w:sz w:val="24"/>
          <w:szCs w:val="24"/>
        </w:rPr>
      </w:pPr>
      <w:r w:rsidRPr="00DA5BE5">
        <w:rPr>
          <w:b/>
          <w:sz w:val="24"/>
          <w:szCs w:val="24"/>
        </w:rPr>
        <w:t>Serviciul Finanțări Nerambursabile,</w:t>
      </w:r>
    </w:p>
    <w:p w14:paraId="1A70A8E8" w14:textId="06B84215" w:rsidR="001A422D" w:rsidRPr="00DA5BE5" w:rsidRDefault="0039221B" w:rsidP="00EB1855">
      <w:pPr>
        <w:jc w:val="center"/>
        <w:rPr>
          <w:b/>
          <w:sz w:val="24"/>
          <w:szCs w:val="24"/>
        </w:rPr>
      </w:pPr>
      <w:r w:rsidRPr="00DA5BE5">
        <w:rPr>
          <w:b/>
          <w:sz w:val="24"/>
          <w:szCs w:val="24"/>
        </w:rPr>
        <w:t>Daniela Ghinea, Șef Serviciu</w:t>
      </w:r>
    </w:p>
    <w:p w14:paraId="6F0C9A34" w14:textId="77777777" w:rsidR="0039221B" w:rsidRPr="00DA5BE5" w:rsidRDefault="0039221B" w:rsidP="00EB1855">
      <w:pPr>
        <w:jc w:val="center"/>
        <w:rPr>
          <w:b/>
          <w:sz w:val="24"/>
          <w:szCs w:val="24"/>
        </w:rPr>
      </w:pPr>
    </w:p>
    <w:p w14:paraId="5184B97F" w14:textId="77777777" w:rsidR="0039221B" w:rsidRPr="00DA5BE5" w:rsidRDefault="0039221B" w:rsidP="00EB1855">
      <w:pPr>
        <w:jc w:val="center"/>
        <w:rPr>
          <w:b/>
          <w:sz w:val="24"/>
          <w:szCs w:val="24"/>
        </w:rPr>
      </w:pPr>
    </w:p>
    <w:p w14:paraId="6BCD19AC" w14:textId="77777777" w:rsidR="0039221B" w:rsidRPr="00DA5BE5" w:rsidRDefault="0039221B" w:rsidP="00EB1855">
      <w:pPr>
        <w:jc w:val="center"/>
        <w:rPr>
          <w:b/>
          <w:sz w:val="24"/>
          <w:szCs w:val="24"/>
        </w:rPr>
      </w:pPr>
    </w:p>
    <w:p w14:paraId="365EC1D6" w14:textId="2D1D079A" w:rsidR="0039221B" w:rsidRPr="00DA5BE5" w:rsidRDefault="0039221B" w:rsidP="00EB1855">
      <w:pPr>
        <w:jc w:val="center"/>
        <w:rPr>
          <w:b/>
          <w:sz w:val="24"/>
          <w:szCs w:val="24"/>
        </w:rPr>
      </w:pPr>
      <w:r w:rsidRPr="00DA5BE5">
        <w:rPr>
          <w:b/>
          <w:sz w:val="24"/>
          <w:szCs w:val="24"/>
        </w:rPr>
        <w:t>Întocmit,</w:t>
      </w:r>
    </w:p>
    <w:p w14:paraId="6C3F0D60" w14:textId="10CCD7EA" w:rsidR="0039221B" w:rsidRPr="00DA5BE5" w:rsidRDefault="0039221B" w:rsidP="00EB1855">
      <w:pPr>
        <w:jc w:val="center"/>
        <w:rPr>
          <w:b/>
          <w:sz w:val="24"/>
          <w:szCs w:val="24"/>
        </w:rPr>
      </w:pPr>
      <w:r w:rsidRPr="00DA5BE5">
        <w:rPr>
          <w:b/>
          <w:sz w:val="24"/>
          <w:szCs w:val="24"/>
        </w:rPr>
        <w:t xml:space="preserve">Maria </w:t>
      </w:r>
      <w:proofErr w:type="spellStart"/>
      <w:r w:rsidRPr="00DA5BE5">
        <w:rPr>
          <w:b/>
          <w:sz w:val="24"/>
          <w:szCs w:val="24"/>
        </w:rPr>
        <w:t>Telbis</w:t>
      </w:r>
      <w:proofErr w:type="spellEnd"/>
      <w:r w:rsidRPr="00DA5BE5">
        <w:rPr>
          <w:b/>
          <w:sz w:val="24"/>
          <w:szCs w:val="24"/>
        </w:rPr>
        <w:t>, consilier SFN</w:t>
      </w:r>
    </w:p>
    <w:p w14:paraId="49F10586" w14:textId="5B61F679" w:rsidR="001A422D" w:rsidRPr="00DA5BE5" w:rsidRDefault="001A422D" w:rsidP="00EB1855">
      <w:pPr>
        <w:ind w:firstLine="720"/>
        <w:jc w:val="center"/>
        <w:rPr>
          <w:sz w:val="24"/>
          <w:szCs w:val="24"/>
        </w:rPr>
      </w:pPr>
    </w:p>
    <w:p w14:paraId="3E6DC404" w14:textId="77777777" w:rsidR="001A422D" w:rsidRPr="00DA5BE5" w:rsidRDefault="001A422D" w:rsidP="00037BC7">
      <w:pPr>
        <w:jc w:val="both"/>
        <w:rPr>
          <w:sz w:val="24"/>
          <w:szCs w:val="24"/>
        </w:rPr>
      </w:pPr>
    </w:p>
    <w:sectPr w:rsidR="001A422D" w:rsidRPr="00DA5BE5" w:rsidSect="008B5218">
      <w:footerReference w:type="default" r:id="rId7"/>
      <w:pgSz w:w="12240" w:h="15840"/>
      <w:pgMar w:top="1418" w:right="1417" w:bottom="568" w:left="1417" w:header="708"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D86" w14:textId="77777777" w:rsidR="00FF6D64" w:rsidRDefault="00FF6D64" w:rsidP="002976C4">
      <w:r>
        <w:separator/>
      </w:r>
    </w:p>
  </w:endnote>
  <w:endnote w:type="continuationSeparator" w:id="0">
    <w:p w14:paraId="7E3D3571" w14:textId="77777777" w:rsidR="00FF6D64" w:rsidRDefault="00FF6D64" w:rsidP="0029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5D9F" w14:textId="77777777" w:rsidR="00FF6D64" w:rsidRPr="00675F9B" w:rsidRDefault="00FF6D64" w:rsidP="002976C4">
    <w:pPr>
      <w:ind w:left="5040" w:firstLine="720"/>
      <w:jc w:val="center"/>
      <w:rPr>
        <w:sz w:val="20"/>
        <w:szCs w:val="20"/>
      </w:rPr>
    </w:pPr>
    <w:r w:rsidRPr="00675F9B">
      <w:rPr>
        <w:sz w:val="20"/>
        <w:szCs w:val="20"/>
      </w:rPr>
      <w:t xml:space="preserve">                       Cod FO53-01,Ver.2</w:t>
    </w:r>
  </w:p>
  <w:p w14:paraId="2BB7825E" w14:textId="77777777" w:rsidR="00FF6D64" w:rsidRDefault="00FF6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9B3B" w14:textId="77777777" w:rsidR="00FF6D64" w:rsidRDefault="00FF6D64" w:rsidP="002976C4">
      <w:r>
        <w:separator/>
      </w:r>
    </w:p>
  </w:footnote>
  <w:footnote w:type="continuationSeparator" w:id="0">
    <w:p w14:paraId="2873AD5E" w14:textId="77777777" w:rsidR="00FF6D64" w:rsidRDefault="00FF6D64" w:rsidP="0029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203668F"/>
    <w:multiLevelType w:val="hybridMultilevel"/>
    <w:tmpl w:val="956026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73F527F"/>
    <w:multiLevelType w:val="hybridMultilevel"/>
    <w:tmpl w:val="94C606F2"/>
    <w:lvl w:ilvl="0" w:tplc="3A425BA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C612EFB"/>
    <w:multiLevelType w:val="hybridMultilevel"/>
    <w:tmpl w:val="16F04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CC834A5"/>
    <w:multiLevelType w:val="hybridMultilevel"/>
    <w:tmpl w:val="6A00E7F4"/>
    <w:lvl w:ilvl="0" w:tplc="09EA9E9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26D39"/>
    <w:multiLevelType w:val="multilevel"/>
    <w:tmpl w:val="087A7F76"/>
    <w:lvl w:ilvl="0">
      <w:start w:val="1"/>
      <w:numFmt w:val="decimal"/>
      <w:pStyle w:val="Heading2"/>
      <w:lvlText w:val="%1."/>
      <w:lvlJc w:val="left"/>
      <w:pPr>
        <w:ind w:left="360" w:hanging="360"/>
      </w:pPr>
    </w:lvl>
    <w:lvl w:ilvl="1">
      <w:start w:val="1"/>
      <w:numFmt w:val="decimal"/>
      <w:pStyle w:val="Formatvorlage1"/>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ormatvorlage2"/>
      <w:lvlText w:val="%1.%2.%3."/>
      <w:lvlJc w:val="left"/>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010028">
    <w:abstractNumId w:val="0"/>
  </w:num>
  <w:num w:numId="2" w16cid:durableId="335956907">
    <w:abstractNumId w:val="2"/>
  </w:num>
  <w:num w:numId="3" w16cid:durableId="1871184829">
    <w:abstractNumId w:val="1"/>
  </w:num>
  <w:num w:numId="4" w16cid:durableId="1266573777">
    <w:abstractNumId w:val="9"/>
  </w:num>
  <w:num w:numId="5" w16cid:durableId="1275404449">
    <w:abstractNumId w:val="5"/>
  </w:num>
  <w:num w:numId="6" w16cid:durableId="1684892167">
    <w:abstractNumId w:val="3"/>
  </w:num>
  <w:num w:numId="7" w16cid:durableId="444035177">
    <w:abstractNumId w:val="4"/>
  </w:num>
  <w:num w:numId="8" w16cid:durableId="613483382">
    <w:abstractNumId w:val="7"/>
  </w:num>
  <w:num w:numId="9" w16cid:durableId="335113213">
    <w:abstractNumId w:val="10"/>
  </w:num>
  <w:num w:numId="10" w16cid:durableId="831989584">
    <w:abstractNumId w:val="6"/>
  </w:num>
  <w:num w:numId="11" w16cid:durableId="2077701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94"/>
    <w:rsid w:val="00000C36"/>
    <w:rsid w:val="000230D4"/>
    <w:rsid w:val="00023414"/>
    <w:rsid w:val="0003035C"/>
    <w:rsid w:val="0003438B"/>
    <w:rsid w:val="00037BC7"/>
    <w:rsid w:val="00060457"/>
    <w:rsid w:val="00064894"/>
    <w:rsid w:val="00067C21"/>
    <w:rsid w:val="000A2499"/>
    <w:rsid w:val="000A53E5"/>
    <w:rsid w:val="000A63AE"/>
    <w:rsid w:val="000A729A"/>
    <w:rsid w:val="000B5B83"/>
    <w:rsid w:val="000C1719"/>
    <w:rsid w:val="000C263F"/>
    <w:rsid w:val="000F7C91"/>
    <w:rsid w:val="00100943"/>
    <w:rsid w:val="00113200"/>
    <w:rsid w:val="00131C5F"/>
    <w:rsid w:val="0013439C"/>
    <w:rsid w:val="0013446C"/>
    <w:rsid w:val="00150F02"/>
    <w:rsid w:val="001948CD"/>
    <w:rsid w:val="001A1640"/>
    <w:rsid w:val="001A422D"/>
    <w:rsid w:val="001A4A6D"/>
    <w:rsid w:val="001C25AD"/>
    <w:rsid w:val="001D4372"/>
    <w:rsid w:val="001E41B1"/>
    <w:rsid w:val="001F584C"/>
    <w:rsid w:val="00201F33"/>
    <w:rsid w:val="00215121"/>
    <w:rsid w:val="002445F6"/>
    <w:rsid w:val="00250855"/>
    <w:rsid w:val="0026791F"/>
    <w:rsid w:val="002733A5"/>
    <w:rsid w:val="00292215"/>
    <w:rsid w:val="00295A31"/>
    <w:rsid w:val="002976C4"/>
    <w:rsid w:val="003013DB"/>
    <w:rsid w:val="00327E98"/>
    <w:rsid w:val="00330687"/>
    <w:rsid w:val="00345768"/>
    <w:rsid w:val="003715F2"/>
    <w:rsid w:val="0039221B"/>
    <w:rsid w:val="003C4749"/>
    <w:rsid w:val="003E6200"/>
    <w:rsid w:val="00413D2F"/>
    <w:rsid w:val="004302C1"/>
    <w:rsid w:val="0046520F"/>
    <w:rsid w:val="00477A02"/>
    <w:rsid w:val="00481BF3"/>
    <w:rsid w:val="004C03AD"/>
    <w:rsid w:val="004D3156"/>
    <w:rsid w:val="004F72DB"/>
    <w:rsid w:val="00527898"/>
    <w:rsid w:val="005A472B"/>
    <w:rsid w:val="005E3A5E"/>
    <w:rsid w:val="005F3B06"/>
    <w:rsid w:val="00620ABA"/>
    <w:rsid w:val="00626DDC"/>
    <w:rsid w:val="00635358"/>
    <w:rsid w:val="00675F9B"/>
    <w:rsid w:val="006A712C"/>
    <w:rsid w:val="006D3AC8"/>
    <w:rsid w:val="006E5FB3"/>
    <w:rsid w:val="006E6A31"/>
    <w:rsid w:val="00733F85"/>
    <w:rsid w:val="00737950"/>
    <w:rsid w:val="00783840"/>
    <w:rsid w:val="007A3F33"/>
    <w:rsid w:val="007A7E14"/>
    <w:rsid w:val="007E0CBC"/>
    <w:rsid w:val="007F7F64"/>
    <w:rsid w:val="0081426F"/>
    <w:rsid w:val="008259F1"/>
    <w:rsid w:val="008674EE"/>
    <w:rsid w:val="00870894"/>
    <w:rsid w:val="008733B3"/>
    <w:rsid w:val="00875778"/>
    <w:rsid w:val="00895527"/>
    <w:rsid w:val="00896908"/>
    <w:rsid w:val="008A74E3"/>
    <w:rsid w:val="008B5218"/>
    <w:rsid w:val="00923998"/>
    <w:rsid w:val="0093412B"/>
    <w:rsid w:val="00936238"/>
    <w:rsid w:val="0098138E"/>
    <w:rsid w:val="0099628A"/>
    <w:rsid w:val="009D3441"/>
    <w:rsid w:val="009F5A5A"/>
    <w:rsid w:val="00A20AC4"/>
    <w:rsid w:val="00A512C9"/>
    <w:rsid w:val="00A65543"/>
    <w:rsid w:val="00A6798F"/>
    <w:rsid w:val="00A74B5B"/>
    <w:rsid w:val="00A82CD7"/>
    <w:rsid w:val="00AA385D"/>
    <w:rsid w:val="00AE4F2B"/>
    <w:rsid w:val="00B119C0"/>
    <w:rsid w:val="00B16C97"/>
    <w:rsid w:val="00B20E5E"/>
    <w:rsid w:val="00B42779"/>
    <w:rsid w:val="00B51CF1"/>
    <w:rsid w:val="00B5400E"/>
    <w:rsid w:val="00B557A3"/>
    <w:rsid w:val="00B716AA"/>
    <w:rsid w:val="00B81E57"/>
    <w:rsid w:val="00BC3414"/>
    <w:rsid w:val="00BD2115"/>
    <w:rsid w:val="00BE2C58"/>
    <w:rsid w:val="00BE413F"/>
    <w:rsid w:val="00C42F73"/>
    <w:rsid w:val="00C478F6"/>
    <w:rsid w:val="00C7056F"/>
    <w:rsid w:val="00C762CB"/>
    <w:rsid w:val="00C83BC8"/>
    <w:rsid w:val="00C91ACE"/>
    <w:rsid w:val="00CD331C"/>
    <w:rsid w:val="00D11770"/>
    <w:rsid w:val="00D159B0"/>
    <w:rsid w:val="00D2584D"/>
    <w:rsid w:val="00D25872"/>
    <w:rsid w:val="00D66327"/>
    <w:rsid w:val="00DA0B47"/>
    <w:rsid w:val="00DA5BE5"/>
    <w:rsid w:val="00DC476E"/>
    <w:rsid w:val="00DD02B7"/>
    <w:rsid w:val="00DD2C3D"/>
    <w:rsid w:val="00DD2CA2"/>
    <w:rsid w:val="00DE6F32"/>
    <w:rsid w:val="00E42C5E"/>
    <w:rsid w:val="00E609A8"/>
    <w:rsid w:val="00E66A29"/>
    <w:rsid w:val="00E86FE9"/>
    <w:rsid w:val="00EA478F"/>
    <w:rsid w:val="00EB1855"/>
    <w:rsid w:val="00EB19E1"/>
    <w:rsid w:val="00ED4600"/>
    <w:rsid w:val="00F10AF9"/>
    <w:rsid w:val="00F27489"/>
    <w:rsid w:val="00F31DEC"/>
    <w:rsid w:val="00F610CE"/>
    <w:rsid w:val="00F65BEE"/>
    <w:rsid w:val="00FA0C0B"/>
    <w:rsid w:val="00FA54A4"/>
    <w:rsid w:val="00FC5F6E"/>
    <w:rsid w:val="00FE1138"/>
    <w:rsid w:val="00FE657C"/>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82D5B"/>
  <w15:docId w15:val="{1B7DAD2C-199F-47A1-A7B7-5CDBE380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94"/>
    <w:rPr>
      <w:rFonts w:eastAsia="Times New Roman"/>
      <w:sz w:val="26"/>
      <w:szCs w:val="26"/>
      <w:lang w:val="ro-RO"/>
    </w:rPr>
  </w:style>
  <w:style w:type="paragraph" w:styleId="Heading2">
    <w:name w:val="heading 2"/>
    <w:aliases w:val="capitol"/>
    <w:basedOn w:val="Normal"/>
    <w:next w:val="Normal"/>
    <w:link w:val="Heading2Char"/>
    <w:qFormat/>
    <w:locked/>
    <w:rsid w:val="000A63AE"/>
    <w:pPr>
      <w:keepNext/>
      <w:numPr>
        <w:numId w:val="9"/>
      </w:numPr>
      <w:spacing w:before="240" w:after="120"/>
      <w:ind w:left="0" w:hanging="378"/>
      <w:outlineLvl w:val="1"/>
    </w:pPr>
    <w:rPr>
      <w:b/>
      <w:sz w:val="22"/>
      <w:szCs w:val="20"/>
      <w:lang w:val="en-US"/>
    </w:rPr>
  </w:style>
  <w:style w:type="paragraph" w:styleId="Heading3">
    <w:name w:val="heading 3"/>
    <w:basedOn w:val="Normal"/>
    <w:next w:val="Normal"/>
    <w:link w:val="Heading3Char"/>
    <w:semiHidden/>
    <w:unhideWhenUsed/>
    <w:qFormat/>
    <w:locked/>
    <w:rsid w:val="000A63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semiHidden/>
    <w:unhideWhenUsed/>
    <w:rsid w:val="002976C4"/>
    <w:pPr>
      <w:tabs>
        <w:tab w:val="center" w:pos="4680"/>
        <w:tab w:val="right" w:pos="9360"/>
      </w:tabs>
    </w:pPr>
  </w:style>
  <w:style w:type="character" w:customStyle="1" w:styleId="FooterChar">
    <w:name w:val="Footer Char"/>
    <w:basedOn w:val="DefaultParagraphFont"/>
    <w:link w:val="Footer"/>
    <w:uiPriority w:val="99"/>
    <w:semiHidden/>
    <w:rsid w:val="002976C4"/>
    <w:rPr>
      <w:rFonts w:eastAsia="Times New Roman"/>
      <w:sz w:val="26"/>
      <w:szCs w:val="26"/>
      <w:lang w:val="ro-RO"/>
    </w:rPr>
  </w:style>
  <w:style w:type="character" w:styleId="Emphasis">
    <w:name w:val="Emphasis"/>
    <w:uiPriority w:val="20"/>
    <w:qFormat/>
    <w:locked/>
    <w:rsid w:val="00345768"/>
  </w:style>
  <w:style w:type="paragraph" w:customStyle="1" w:styleId="tabele">
    <w:name w:val="tabele"/>
    <w:link w:val="tabeleChar"/>
    <w:qFormat/>
    <w:rsid w:val="00345768"/>
    <w:pPr>
      <w:jc w:val="both"/>
    </w:pPr>
    <w:rPr>
      <w:rFonts w:ascii="Calibri" w:eastAsia="Times New Roman" w:hAnsi="Calibri"/>
      <w:sz w:val="20"/>
      <w:szCs w:val="20"/>
      <w:lang w:val="en-GB"/>
    </w:rPr>
  </w:style>
  <w:style w:type="character" w:customStyle="1" w:styleId="tabeleChar">
    <w:name w:val="tabele Char"/>
    <w:link w:val="tabele"/>
    <w:locked/>
    <w:rsid w:val="00345768"/>
    <w:rPr>
      <w:rFonts w:ascii="Calibri" w:eastAsia="Times New Roman" w:hAnsi="Calibri"/>
      <w:sz w:val="20"/>
      <w:szCs w:val="20"/>
      <w:lang w:val="en-GB"/>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9D3441"/>
    <w:rPr>
      <w:rFonts w:eastAsia="Times New Roman"/>
      <w:sz w:val="26"/>
      <w:szCs w:val="26"/>
      <w:lang w:val="ro-RO"/>
    </w:rPr>
  </w:style>
  <w:style w:type="character" w:styleId="Hyperlink">
    <w:name w:val="Hyperlink"/>
    <w:basedOn w:val="DefaultParagraphFont"/>
    <w:uiPriority w:val="99"/>
    <w:unhideWhenUsed/>
    <w:rsid w:val="00037BC7"/>
    <w:rPr>
      <w:color w:val="0000FF"/>
      <w:u w:val="single"/>
    </w:rPr>
  </w:style>
  <w:style w:type="character" w:customStyle="1" w:styleId="Heading2Char">
    <w:name w:val="Heading 2 Char"/>
    <w:aliases w:val="capitol Char"/>
    <w:basedOn w:val="DefaultParagraphFont"/>
    <w:link w:val="Heading2"/>
    <w:rsid w:val="000A63AE"/>
    <w:rPr>
      <w:rFonts w:eastAsia="Times New Roman"/>
      <w:b/>
      <w:szCs w:val="20"/>
    </w:rPr>
  </w:style>
  <w:style w:type="paragraph" w:customStyle="1" w:styleId="Formatvorlage1">
    <w:name w:val="Formatvorlage1"/>
    <w:basedOn w:val="Heading3"/>
    <w:link w:val="Formatvorlage1Zchn"/>
    <w:qFormat/>
    <w:rsid w:val="000A63AE"/>
    <w:pPr>
      <w:numPr>
        <w:ilvl w:val="1"/>
        <w:numId w:val="9"/>
      </w:numPr>
      <w:spacing w:before="120"/>
      <w:ind w:left="476" w:hanging="525"/>
      <w:jc w:val="both"/>
    </w:pPr>
    <w:rPr>
      <w:rFonts w:ascii="Times New Roman" w:eastAsia="Times New Roman" w:hAnsi="Times New Roman" w:cs="Times New Roman"/>
      <w:color w:val="auto"/>
      <w:sz w:val="22"/>
      <w:szCs w:val="22"/>
    </w:rPr>
  </w:style>
  <w:style w:type="paragraph" w:customStyle="1" w:styleId="Formatvorlage2">
    <w:name w:val="Formatvorlage2"/>
    <w:basedOn w:val="Normal"/>
    <w:qFormat/>
    <w:rsid w:val="000A63AE"/>
    <w:pPr>
      <w:numPr>
        <w:ilvl w:val="2"/>
        <w:numId w:val="9"/>
      </w:numPr>
      <w:spacing w:before="120" w:after="120"/>
    </w:pPr>
    <w:rPr>
      <w:sz w:val="20"/>
      <w:szCs w:val="24"/>
      <w:lang w:val="en-GB" w:eastAsia="en-GB"/>
    </w:rPr>
  </w:style>
  <w:style w:type="character" w:customStyle="1" w:styleId="Formatvorlage1Zchn">
    <w:name w:val="Formatvorlage1 Zchn"/>
    <w:link w:val="Formatvorlage1"/>
    <w:rsid w:val="000A63AE"/>
    <w:rPr>
      <w:rFonts w:eastAsia="Times New Roman"/>
      <w:b/>
      <w:bCs/>
      <w:lang w:val="ro-RO"/>
    </w:rPr>
  </w:style>
  <w:style w:type="character" w:customStyle="1" w:styleId="Heading3Char">
    <w:name w:val="Heading 3 Char"/>
    <w:basedOn w:val="DefaultParagraphFont"/>
    <w:link w:val="Heading3"/>
    <w:semiHidden/>
    <w:rsid w:val="000A63AE"/>
    <w:rPr>
      <w:rFonts w:asciiTheme="majorHAnsi" w:eastAsiaTheme="majorEastAsia" w:hAnsiTheme="majorHAnsi" w:cstheme="majorBidi"/>
      <w:b/>
      <w:bCs/>
      <w:color w:val="4F81BD" w:themeColor="accent1"/>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996</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daniela ghinea</cp:lastModifiedBy>
  <cp:revision>3</cp:revision>
  <cp:lastPrinted>2022-09-20T08:46:00Z</cp:lastPrinted>
  <dcterms:created xsi:type="dcterms:W3CDTF">2022-09-20T08:42:00Z</dcterms:created>
  <dcterms:modified xsi:type="dcterms:W3CDTF">2022-09-20T08:48:00Z</dcterms:modified>
</cp:coreProperties>
</file>