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83" w:rsidRPr="00FF700D" w:rsidRDefault="007D1483" w:rsidP="007D1483">
      <w:pPr>
        <w:rPr>
          <w:b/>
        </w:rPr>
      </w:pPr>
      <w:r w:rsidRPr="00FF700D">
        <w:rPr>
          <w:b/>
        </w:rPr>
        <w:t>ROMÂNIA</w:t>
      </w:r>
      <w:r w:rsidRPr="00FF700D">
        <w:rPr>
          <w:b/>
        </w:rPr>
        <w:tab/>
      </w:r>
      <w:r w:rsidRPr="00FF700D">
        <w:rPr>
          <w:b/>
        </w:rPr>
        <w:tab/>
      </w:r>
      <w:r w:rsidRPr="00FF700D">
        <w:rPr>
          <w:b/>
        </w:rPr>
        <w:tab/>
      </w:r>
      <w:r w:rsidRPr="00FF700D">
        <w:rPr>
          <w:b/>
        </w:rPr>
        <w:tab/>
      </w:r>
      <w:r w:rsidRPr="00FF700D">
        <w:rPr>
          <w:b/>
        </w:rPr>
        <w:tab/>
      </w:r>
      <w:r w:rsidRPr="00FF700D">
        <w:rPr>
          <w:b/>
        </w:rPr>
        <w:tab/>
      </w:r>
      <w:r w:rsidRPr="00FF700D">
        <w:rPr>
          <w:b/>
        </w:rPr>
        <w:tab/>
      </w:r>
      <w:r w:rsidRPr="00FF700D">
        <w:rPr>
          <w:b/>
        </w:rPr>
        <w:tab/>
      </w:r>
    </w:p>
    <w:p w:rsidR="007D1483" w:rsidRPr="00FF700D" w:rsidRDefault="007D1483" w:rsidP="007D1483">
      <w:pPr>
        <w:rPr>
          <w:b/>
        </w:rPr>
      </w:pPr>
      <w:r w:rsidRPr="00FF700D">
        <w:rPr>
          <w:b/>
        </w:rPr>
        <w:t>JUDEȚUL TIMIŞ</w:t>
      </w:r>
      <w:r w:rsidRPr="00FF700D">
        <w:rPr>
          <w:b/>
        </w:rPr>
        <w:tab/>
      </w:r>
      <w:r w:rsidRPr="00FF700D">
        <w:rPr>
          <w:b/>
        </w:rPr>
        <w:tab/>
      </w:r>
      <w:r w:rsidRPr="00FF700D">
        <w:rPr>
          <w:b/>
        </w:rPr>
        <w:tab/>
      </w:r>
      <w:r w:rsidRPr="00FF700D">
        <w:rPr>
          <w:b/>
        </w:rPr>
        <w:tab/>
      </w:r>
      <w:r w:rsidRPr="00FF700D">
        <w:rPr>
          <w:b/>
        </w:rPr>
        <w:tab/>
      </w:r>
      <w:r w:rsidRPr="00FF700D">
        <w:rPr>
          <w:b/>
        </w:rPr>
        <w:tab/>
      </w:r>
      <w:r w:rsidRPr="00FF700D">
        <w:rPr>
          <w:b/>
        </w:rPr>
        <w:tab/>
        <w:t xml:space="preserve">  </w:t>
      </w:r>
    </w:p>
    <w:p w:rsidR="007D1483" w:rsidRPr="00FF700D" w:rsidRDefault="007D1483" w:rsidP="007D1483">
      <w:pPr>
        <w:rPr>
          <w:b/>
        </w:rPr>
      </w:pPr>
      <w:r w:rsidRPr="00FF700D">
        <w:rPr>
          <w:b/>
        </w:rPr>
        <w:t>MUNICIPIUL TIMIȘOARA</w:t>
      </w:r>
    </w:p>
    <w:p w:rsidR="007D1483" w:rsidRPr="00FF700D" w:rsidRDefault="007D1483" w:rsidP="007D1483">
      <w:pPr>
        <w:rPr>
          <w:b/>
        </w:rPr>
      </w:pPr>
      <w:r w:rsidRPr="00FF700D">
        <w:rPr>
          <w:b/>
        </w:rPr>
        <w:t>PRIMAR</w:t>
      </w:r>
    </w:p>
    <w:p w:rsidR="007D1483" w:rsidRPr="00FF700D" w:rsidRDefault="003C3415" w:rsidP="007D1483">
      <w:pPr>
        <w:pStyle w:val="Header"/>
        <w:rPr>
          <w:b/>
        </w:rPr>
      </w:pPr>
      <w:r w:rsidRPr="00FF700D">
        <w:rPr>
          <w:b/>
        </w:rPr>
        <w:t>NR. SC202</w:t>
      </w:r>
      <w:r w:rsidR="00D1767D" w:rsidRPr="00FF700D">
        <w:rPr>
          <w:b/>
        </w:rPr>
        <w:t>3</w:t>
      </w:r>
      <w:r w:rsidR="007D1483" w:rsidRPr="00FF700D">
        <w:rPr>
          <w:b/>
        </w:rPr>
        <w:t xml:space="preserve"> –</w:t>
      </w:r>
      <w:r w:rsidR="00E62786" w:rsidRPr="00FF700D">
        <w:rPr>
          <w:b/>
        </w:rPr>
        <w:t xml:space="preserve"> </w:t>
      </w:r>
      <w:r w:rsidR="000E628A" w:rsidRPr="000E628A">
        <w:rPr>
          <w:b/>
        </w:rPr>
        <w:t>5676/06.03.2023</w:t>
      </w:r>
    </w:p>
    <w:p w:rsidR="009707FA" w:rsidRPr="00FF700D" w:rsidRDefault="009707FA" w:rsidP="0034492C">
      <w:pPr>
        <w:jc w:val="both"/>
        <w:rPr>
          <w:b/>
        </w:rPr>
      </w:pPr>
    </w:p>
    <w:p w:rsidR="00274332" w:rsidRPr="00FF700D" w:rsidRDefault="00274332" w:rsidP="00A47B5D">
      <w:pPr>
        <w:autoSpaceDE w:val="0"/>
        <w:autoSpaceDN w:val="0"/>
        <w:adjustRightInd w:val="0"/>
        <w:jc w:val="center"/>
        <w:rPr>
          <w:b/>
          <w:u w:val="single"/>
        </w:rPr>
      </w:pPr>
    </w:p>
    <w:p w:rsidR="00A47B5D" w:rsidRPr="00FF700D" w:rsidRDefault="00A47B5D" w:rsidP="00A47B5D">
      <w:pPr>
        <w:autoSpaceDE w:val="0"/>
        <w:autoSpaceDN w:val="0"/>
        <w:adjustRightInd w:val="0"/>
        <w:jc w:val="center"/>
        <w:rPr>
          <w:b/>
          <w:u w:val="single"/>
        </w:rPr>
      </w:pPr>
      <w:r w:rsidRPr="00FF700D">
        <w:rPr>
          <w:b/>
          <w:u w:val="single"/>
        </w:rPr>
        <w:t>REFERATUL DE APROBARE A PROIECTULUI DE HOTĂRÂRE</w:t>
      </w:r>
    </w:p>
    <w:p w:rsidR="00377B53" w:rsidRPr="00FF700D" w:rsidRDefault="00377B53" w:rsidP="00D9604E">
      <w:pPr>
        <w:jc w:val="both"/>
        <w:rPr>
          <w:b/>
          <w:bCs/>
          <w:sz w:val="16"/>
          <w:szCs w:val="16"/>
        </w:rPr>
      </w:pPr>
      <w:bookmarkStart w:id="0" w:name="_Hlk127130703"/>
      <w:r w:rsidRPr="00FF700D">
        <w:rPr>
          <w:b/>
        </w:rPr>
        <w:t>privind aprobarea participării Municipiului Timișoara, în calitate de Partener 4,  în cadrul proiectului „</w:t>
      </w:r>
      <w:bookmarkStart w:id="1" w:name="_Hlk128904798"/>
      <w:r w:rsidR="00D9604E" w:rsidRPr="00D9604E">
        <w:rPr>
          <w:b/>
          <w:bCs/>
        </w:rPr>
        <w:t>Rută integrată completă pentru învățământul dual în regiunea de Vest prin dezvoltarea și operaționalizarea Consorțiului Regional pentru Învățământ Dual VEST Timișoara</w:t>
      </w:r>
      <w:bookmarkEnd w:id="1"/>
      <w:r w:rsidRPr="00FF700D">
        <w:rPr>
          <w:b/>
        </w:rPr>
        <w:t>” și a cheltuielilor aferente</w:t>
      </w:r>
      <w:r w:rsidRPr="00FF700D">
        <w:rPr>
          <w:b/>
          <w:bCs/>
        </w:rPr>
        <w:t xml:space="preserve"> proiectului în vederea finanțării prin Planului Național de Redresare și Reziliență (PNRR 2020-2026) - Componenta C15: Educație, Reforma 4: Crearea unei rute profesionale complete pentru învățământul tehnic superior, Investiția 6: Dezvoltarea a minimum 10 consorții regionale și dezvoltarea și dotarea a minimum 10 campusuri profesionale integrate</w:t>
      </w:r>
    </w:p>
    <w:bookmarkEnd w:id="0"/>
    <w:p w:rsidR="00906EE9" w:rsidRPr="00FF700D" w:rsidRDefault="00906EE9" w:rsidP="003C3415">
      <w:pPr>
        <w:autoSpaceDE w:val="0"/>
        <w:autoSpaceDN w:val="0"/>
        <w:adjustRightInd w:val="0"/>
        <w:jc w:val="center"/>
        <w:rPr>
          <w:b/>
          <w:bCs/>
        </w:rPr>
      </w:pPr>
    </w:p>
    <w:p w:rsidR="0034492C" w:rsidRPr="00FF700D" w:rsidRDefault="00064271" w:rsidP="00274332">
      <w:pPr>
        <w:pStyle w:val="ListParagraph"/>
        <w:numPr>
          <w:ilvl w:val="0"/>
          <w:numId w:val="1"/>
        </w:numPr>
        <w:tabs>
          <w:tab w:val="decimal" w:pos="360"/>
          <w:tab w:val="decimal" w:pos="432"/>
        </w:tabs>
        <w:ind w:left="0" w:firstLine="0"/>
        <w:jc w:val="both"/>
        <w:rPr>
          <w:rFonts w:ascii="Times New Roman" w:hAnsi="Times New Roman"/>
          <w:b/>
          <w:spacing w:val="-5"/>
          <w:sz w:val="24"/>
          <w:szCs w:val="24"/>
          <w:lang w:val="ro-RO"/>
        </w:rPr>
      </w:pPr>
      <w:r w:rsidRPr="00FF700D">
        <w:rPr>
          <w:rFonts w:ascii="Times New Roman" w:hAnsi="Times New Roman"/>
          <w:b/>
          <w:spacing w:val="-5"/>
          <w:sz w:val="24"/>
          <w:szCs w:val="24"/>
          <w:lang w:val="ro-RO"/>
        </w:rPr>
        <w:t>Descrierea situaț</w:t>
      </w:r>
      <w:r w:rsidR="0034492C" w:rsidRPr="00FF700D">
        <w:rPr>
          <w:rFonts w:ascii="Times New Roman" w:hAnsi="Times New Roman"/>
          <w:b/>
          <w:spacing w:val="-5"/>
          <w:sz w:val="24"/>
          <w:szCs w:val="24"/>
          <w:lang w:val="ro-RO"/>
        </w:rPr>
        <w:t>iei actuale</w:t>
      </w:r>
    </w:p>
    <w:p w:rsidR="005969CE" w:rsidRPr="00FF700D" w:rsidRDefault="005969CE" w:rsidP="00274332">
      <w:pPr>
        <w:ind w:firstLine="540"/>
        <w:jc w:val="both"/>
        <w:rPr>
          <w:bCs/>
        </w:rPr>
      </w:pPr>
      <w:r w:rsidRPr="00FF700D">
        <w:rPr>
          <w:bCs/>
        </w:rPr>
        <w:t>În contextul deschiderii Apelului de proiecte ”Program-pilot pentru dezvoltarea consorțiilor regionale pentru învățământ dual”, Componenta C15: Educație, Reforma 4: Crearea unei rute profesionale complete pentru învățământul tehnic superior, Investiția 6: Dezvoltarea a minimum 10 consorții regionale și dezvoltarea și dotarea a minimum 10 campusuri profesionale integrate, în cadrul Planului Național de Redresare și Reziliență (PNRR), având ca beneficiari Consorțiile regionale pentru învățământ dual, înființate și organizate cu respectarea prevederilor Metodologiei privind constituirea Consorțiilor pentru învățământ dual, aprobată prin OME nr. 6216/09.11.2022, prin Contracte de parteneriat pentru constituirea Consorțiilor avizate de Ministerul Educației, Municipiul Timișoara a transmis, prin adresa nr. SC2022-28941/18.11.2022, Universității Politehnica Timișoara propunerea de constituire a unui consorțiu regional integrat în baza unui parteneriat creat prin implicarea tuturor actorilor relevanți în domeniu.</w:t>
      </w:r>
    </w:p>
    <w:p w:rsidR="005969CE" w:rsidRPr="00FF700D" w:rsidRDefault="005969CE" w:rsidP="00274332">
      <w:pPr>
        <w:ind w:firstLine="540"/>
        <w:jc w:val="both"/>
        <w:rPr>
          <w:bCs/>
        </w:rPr>
      </w:pPr>
      <w:r w:rsidRPr="00FF700D">
        <w:rPr>
          <w:bCs/>
        </w:rPr>
        <w:t>La data de 29.11.2022, Universitatea Politehnica Timișoara, în calitate de lider al parteneriatului, a lansat procedura de selecție a cel puțin unui operator economic care să facă parte din Consorțiu, ținând cont de prevederile Metodologiei menționate mai sus, iar la data de 20.12.2022, a comunicat rezultatele procedurii derulate de Comisia de evaluare a dosarelor de candidatură pentru procedura de selecție a partenerilor operatori economici în cadrul Consorțiului Regional pentru Învățământ Dual Vest Timișoara.</w:t>
      </w:r>
    </w:p>
    <w:p w:rsidR="005969CE" w:rsidRPr="00FF700D" w:rsidRDefault="005969CE" w:rsidP="00274332">
      <w:pPr>
        <w:ind w:firstLine="540"/>
        <w:jc w:val="both"/>
        <w:rPr>
          <w:bCs/>
        </w:rPr>
      </w:pPr>
      <w:r w:rsidRPr="00FF700D">
        <w:rPr>
          <w:bCs/>
        </w:rPr>
        <w:t xml:space="preserve">În urma parcurgerii întregii procedurii de constituire, inclusiv a semnării Contractului de parteneriat pentru constituirea consorțiului, s-a constituit </w:t>
      </w:r>
      <w:r w:rsidR="009E170A" w:rsidRPr="00FF700D">
        <w:rPr>
          <w:bCs/>
        </w:rPr>
        <w:t>„</w:t>
      </w:r>
      <w:r w:rsidRPr="00FF700D">
        <w:rPr>
          <w:bCs/>
        </w:rPr>
        <w:t xml:space="preserve">Consorțiul Regional pentru Învățământ Dual Vest Timișoara” la care Municipiul Timișoara participă, în baza HCLMT nr. 21/30.01.2023, în calitate de partener 4, alături de instituții de învățământ superior de stat/particulare acreditate,  unități de învățământ preuniversitar de stat/particular acreditate și de operatori economici. </w:t>
      </w:r>
    </w:p>
    <w:p w:rsidR="005969CE" w:rsidRPr="00FF700D" w:rsidRDefault="005969CE" w:rsidP="00274332">
      <w:pPr>
        <w:ind w:firstLine="540"/>
        <w:jc w:val="both"/>
        <w:rPr>
          <w:bCs/>
        </w:rPr>
      </w:pPr>
      <w:bookmarkStart w:id="2" w:name="_Hlk128910131"/>
      <w:r w:rsidRPr="00FF700D">
        <w:rPr>
          <w:bCs/>
        </w:rPr>
        <w:t>Constituirea Consorțiului a fost avizată de către Ministerul Educației prin Avizul nr.</w:t>
      </w:r>
      <w:r w:rsidR="009E170A" w:rsidRPr="00FF700D">
        <w:rPr>
          <w:bCs/>
        </w:rPr>
        <w:t>15/09.02.2023;</w:t>
      </w:r>
    </w:p>
    <w:bookmarkEnd w:id="2"/>
    <w:p w:rsidR="00CC49CF" w:rsidRPr="00FF700D" w:rsidRDefault="00CC49CF" w:rsidP="00274332">
      <w:pPr>
        <w:ind w:firstLine="540"/>
        <w:jc w:val="both"/>
        <w:rPr>
          <w:bCs/>
        </w:rPr>
      </w:pPr>
      <w:r w:rsidRPr="00FF700D">
        <w:rPr>
          <w:bCs/>
          <w:i/>
          <w:iCs/>
        </w:rPr>
        <w:t>Fiecare Consorțiu nou constituit</w:t>
      </w:r>
      <w:r w:rsidRPr="00FF700D">
        <w:rPr>
          <w:bCs/>
        </w:rPr>
        <w:t xml:space="preserve"> și care corespunde cerințelor Ghidului solicitantului, aprobat prin OME nr. 3071/2023, </w:t>
      </w:r>
      <w:r w:rsidRPr="00FF700D">
        <w:rPr>
          <w:bCs/>
          <w:i/>
          <w:iCs/>
        </w:rPr>
        <w:t>va beneficia de finanțare pentru construirea unui campus profesional integrat, liceal și universitar</w:t>
      </w:r>
      <w:r w:rsidRPr="00FF700D">
        <w:rPr>
          <w:bCs/>
        </w:rPr>
        <w:t>, având în vedere că, în prezent, la nivelul învățământului profesional și tehnic, o provocare importantă o constituie identificarea unor spații educaționale în care atât elevii, cât și studenții, să se familiarizeze cu ruta profesională completă.</w:t>
      </w:r>
    </w:p>
    <w:p w:rsidR="002440C4" w:rsidRPr="00FF700D" w:rsidRDefault="002440C4" w:rsidP="00274332">
      <w:pPr>
        <w:ind w:firstLine="540"/>
        <w:jc w:val="both"/>
        <w:rPr>
          <w:bCs/>
        </w:rPr>
      </w:pPr>
    </w:p>
    <w:p w:rsidR="00E35FFA" w:rsidRPr="00FF700D" w:rsidRDefault="003C3415" w:rsidP="00274332">
      <w:pPr>
        <w:tabs>
          <w:tab w:val="left" w:pos="426"/>
        </w:tabs>
        <w:autoSpaceDE w:val="0"/>
        <w:autoSpaceDN w:val="0"/>
        <w:adjustRightInd w:val="0"/>
        <w:jc w:val="both"/>
        <w:rPr>
          <w:b/>
          <w:spacing w:val="-5"/>
        </w:rPr>
      </w:pPr>
      <w:r w:rsidRPr="00FF700D">
        <w:rPr>
          <w:b/>
          <w:spacing w:val="-5"/>
        </w:rPr>
        <w:t xml:space="preserve">2. </w:t>
      </w:r>
      <w:r w:rsidR="00E435F0" w:rsidRPr="00FF700D">
        <w:rPr>
          <w:b/>
          <w:spacing w:val="-5"/>
        </w:rPr>
        <w:t>Schimbări</w:t>
      </w:r>
      <w:r w:rsidR="00396FF7" w:rsidRPr="00FF700D">
        <w:rPr>
          <w:b/>
          <w:spacing w:val="-5"/>
        </w:rPr>
        <w:t xml:space="preserve"> preconizate și rezultate așteptate</w:t>
      </w:r>
    </w:p>
    <w:p w:rsidR="00E35FFA" w:rsidRPr="00FF700D" w:rsidRDefault="00B9698F" w:rsidP="00274332">
      <w:pPr>
        <w:tabs>
          <w:tab w:val="left" w:pos="426"/>
        </w:tabs>
        <w:autoSpaceDE w:val="0"/>
        <w:autoSpaceDN w:val="0"/>
        <w:adjustRightInd w:val="0"/>
        <w:jc w:val="both"/>
        <w:rPr>
          <w:bCs/>
        </w:rPr>
      </w:pPr>
      <w:r w:rsidRPr="00FF700D">
        <w:rPr>
          <w:bCs/>
        </w:rPr>
        <w:tab/>
      </w:r>
      <w:r w:rsidR="00E35FFA" w:rsidRPr="00FF700D">
        <w:rPr>
          <w:bCs/>
        </w:rPr>
        <w:t>Consorțiul solicitant, pentru a aplica în cadrul acestui apel, trebuie să transmită/încarce în sistem toate anexele menționate la punctul 4.2. din Ghidul solicitantului, inclusiv Acordul de parteneriat pentru implementarea Proiectului.</w:t>
      </w:r>
    </w:p>
    <w:p w:rsidR="00CC49CF" w:rsidRPr="00FF700D" w:rsidRDefault="00CC49CF" w:rsidP="00274332">
      <w:pPr>
        <w:ind w:firstLine="540"/>
        <w:jc w:val="both"/>
        <w:rPr>
          <w:bCs/>
        </w:rPr>
      </w:pPr>
      <w:r w:rsidRPr="00FF700D">
        <w:rPr>
          <w:bCs/>
        </w:rPr>
        <w:t xml:space="preserve">Obiectivele investiției finanțate din PNRR sunt: </w:t>
      </w:r>
    </w:p>
    <w:p w:rsidR="00CC49CF" w:rsidRPr="00FF700D" w:rsidRDefault="00CC49CF" w:rsidP="00274332">
      <w:pPr>
        <w:ind w:firstLine="540"/>
        <w:jc w:val="both"/>
        <w:rPr>
          <w:bCs/>
        </w:rPr>
      </w:pPr>
      <w:r w:rsidRPr="00FF700D">
        <w:rPr>
          <w:rFonts w:ascii="Cambria Math" w:hAnsi="Cambria Math" w:cs="Cambria Math"/>
          <w:bCs/>
        </w:rPr>
        <w:t>⇒</w:t>
      </w:r>
      <w:r w:rsidRPr="00FF700D">
        <w:rPr>
          <w:bCs/>
        </w:rPr>
        <w:t xml:space="preserve"> O1. Asigurarea accesului egal la educație și formare profesională inițială de calitate, cu accent pe identificarea și incluziunea potențialilor beneficiari, în special a elevilor și studenților aparținând grupurilor </w:t>
      </w:r>
      <w:r w:rsidRPr="00FF700D">
        <w:rPr>
          <w:bCs/>
        </w:rPr>
        <w:lastRenderedPageBreak/>
        <w:t xml:space="preserve">vulnerabile/dezavantajate, prin dezvoltarea de parteneriate cu agenți economici sau alți parteneri relevanți, în vederea adaptării învățământului profesional tehnic la cerințele pieței muncii; </w:t>
      </w:r>
    </w:p>
    <w:p w:rsidR="00CC49CF" w:rsidRPr="00FF700D" w:rsidRDefault="00CC49CF" w:rsidP="00274332">
      <w:pPr>
        <w:ind w:firstLine="540"/>
        <w:jc w:val="both"/>
        <w:rPr>
          <w:bCs/>
        </w:rPr>
      </w:pPr>
      <w:r w:rsidRPr="00FF700D">
        <w:rPr>
          <w:rFonts w:ascii="Cambria Math" w:hAnsi="Cambria Math" w:cs="Cambria Math"/>
          <w:bCs/>
        </w:rPr>
        <w:t>⇒</w:t>
      </w:r>
      <w:r w:rsidRPr="00FF700D">
        <w:rPr>
          <w:bCs/>
        </w:rPr>
        <w:t xml:space="preserve"> O2. Realizarea a minimum 10 structuri parteneriale care vor fi baza Consorțiilor (fiecare fiind alcătuită cel puțin din următoarele tipuri de entități: UAT-uri, operatori economici, unități de învățământ profesional și tehnic, inclusiv dual de stat, instituțiile de învățământ superior de stat acreditate, alți parteneri relevanți pentru scopul educațional al centrului) pentru sprijinirea angajatorilor de a deține rolul activ în domeniul pregătirii profesionale a elevilor și studenților, precum și dezvoltarea și dotarea a minimum 10 campusuri profesionale integrate, liceale și universitare, care să deservească învățământul dual preuniversitar și universitar. </w:t>
      </w:r>
    </w:p>
    <w:p w:rsidR="00ED1030" w:rsidRPr="00FF700D" w:rsidRDefault="00CC49CF" w:rsidP="00274332">
      <w:pPr>
        <w:pStyle w:val="HTMLPreformatted"/>
        <w:shd w:val="clear" w:color="auto" w:fill="FFFFFF"/>
        <w:tabs>
          <w:tab w:val="clear" w:pos="916"/>
          <w:tab w:val="decimal" w:pos="0"/>
          <w:tab w:val="left" w:pos="709"/>
        </w:tabs>
        <w:jc w:val="both"/>
        <w:rPr>
          <w:rFonts w:ascii="Times New Roman" w:hAnsi="Times New Roman"/>
          <w:bCs/>
          <w:sz w:val="24"/>
          <w:szCs w:val="24"/>
          <w:lang w:val="ro-RO"/>
        </w:rPr>
      </w:pPr>
      <w:r w:rsidRPr="00FF700D">
        <w:rPr>
          <w:rFonts w:ascii="Times New Roman" w:hAnsi="Times New Roman"/>
          <w:bCs/>
          <w:sz w:val="24"/>
          <w:szCs w:val="24"/>
          <w:lang w:val="ro-RO"/>
        </w:rPr>
        <w:t>Activitățile finanțate contribuie la îndeplinirea țintelor și jaloanelor complementare ale PNRR: 470-474, în cadrul acestui apel fiind susținute 3 tipuri majore de investiții integrate care să sprijine îndeplinirea țintelor 472,473 și 474 ale PNRR</w:t>
      </w:r>
      <w:r w:rsidR="00E35FFA" w:rsidRPr="00FF700D">
        <w:rPr>
          <w:rFonts w:ascii="Times New Roman" w:hAnsi="Times New Roman"/>
          <w:bCs/>
          <w:sz w:val="24"/>
          <w:szCs w:val="24"/>
          <w:lang w:val="ro-RO"/>
        </w:rPr>
        <w:t>.</w:t>
      </w:r>
    </w:p>
    <w:p w:rsidR="00CC49CF" w:rsidRPr="00FF700D" w:rsidRDefault="00CC49CF" w:rsidP="00274332">
      <w:pPr>
        <w:pStyle w:val="HTMLPreformatted"/>
        <w:shd w:val="clear" w:color="auto" w:fill="FFFFFF"/>
        <w:tabs>
          <w:tab w:val="clear" w:pos="916"/>
          <w:tab w:val="decimal" w:pos="0"/>
          <w:tab w:val="left" w:pos="709"/>
        </w:tabs>
        <w:jc w:val="both"/>
        <w:rPr>
          <w:rFonts w:ascii="Times New Roman" w:hAnsi="Times New Roman"/>
          <w:sz w:val="24"/>
          <w:szCs w:val="24"/>
          <w:lang w:val="ro-RO"/>
        </w:rPr>
      </w:pPr>
    </w:p>
    <w:p w:rsidR="0034492C" w:rsidRPr="00FF700D" w:rsidRDefault="0034492C" w:rsidP="00274332">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FF700D">
        <w:rPr>
          <w:rFonts w:ascii="Times New Roman" w:hAnsi="Times New Roman"/>
          <w:b/>
          <w:spacing w:val="15"/>
          <w:sz w:val="24"/>
          <w:szCs w:val="24"/>
          <w:lang w:val="ro-RO"/>
        </w:rPr>
        <w:t>Alte informa</w:t>
      </w:r>
      <w:r w:rsidR="00A106A8" w:rsidRPr="00FF700D">
        <w:rPr>
          <w:rFonts w:ascii="Times New Roman" w:hAnsi="Times New Roman"/>
          <w:b/>
          <w:spacing w:val="15"/>
          <w:sz w:val="24"/>
          <w:szCs w:val="24"/>
          <w:lang w:val="ro-RO"/>
        </w:rPr>
        <w:t>ții</w:t>
      </w:r>
      <w:r w:rsidR="00064271" w:rsidRPr="00FF700D">
        <w:rPr>
          <w:rFonts w:ascii="Times New Roman" w:hAnsi="Times New Roman"/>
          <w:sz w:val="24"/>
          <w:szCs w:val="24"/>
          <w:lang w:val="ro-RO"/>
        </w:rPr>
        <w:t>:</w:t>
      </w:r>
    </w:p>
    <w:p w:rsidR="00B305B4" w:rsidRPr="00FF700D" w:rsidRDefault="00E75E02" w:rsidP="00274332">
      <w:pPr>
        <w:ind w:firstLine="540"/>
        <w:jc w:val="both"/>
      </w:pPr>
      <w:r w:rsidRPr="00FF700D">
        <w:tab/>
      </w:r>
      <w:r w:rsidR="00B305B4" w:rsidRPr="00FF700D">
        <w:t xml:space="preserve">Valoarea maximă eligibilă nerambursabilă a unui proiect aferent unui Consorțiu este de 21,12 mil. Euro. Valoarea totală a Contractului de Finanțare poate depăși valoarea asistenței financiare nerambursabile, în funcție de cuantumul sumei puse la dispoziție de Consorțiu, pentru derularea activităților proiectului pentru care aplică, diferență suportată în întregime de Beneficiar. </w:t>
      </w:r>
    </w:p>
    <w:p w:rsidR="00274332" w:rsidRPr="00FF700D" w:rsidRDefault="00274332" w:rsidP="00274332">
      <w:pPr>
        <w:ind w:firstLine="720"/>
        <w:jc w:val="both"/>
      </w:pPr>
      <w:r w:rsidRPr="00FF700D">
        <w:t xml:space="preserve">Valoarea </w:t>
      </w:r>
      <w:r w:rsidRPr="00FF700D">
        <w:rPr>
          <w:bCs/>
        </w:rPr>
        <w:t xml:space="preserve">totală a bugetului Municipiului Timișoara, în calitate de Partener 4, este în cuantum de </w:t>
      </w:r>
      <w:r w:rsidR="003A187E" w:rsidRPr="00FF700D">
        <w:rPr>
          <w:bCs/>
        </w:rPr>
        <w:t>112.554.607,00</w:t>
      </w:r>
      <w:r w:rsidRPr="00FF700D">
        <w:rPr>
          <w:bCs/>
        </w:rPr>
        <w:t xml:space="preserve">, echivalentul a </w:t>
      </w:r>
      <w:r w:rsidR="003A187E" w:rsidRPr="00FF700D">
        <w:rPr>
          <w:bCs/>
        </w:rPr>
        <w:t xml:space="preserve">22.747.035,63 Euro </w:t>
      </w:r>
      <w:r w:rsidRPr="00FF700D">
        <w:rPr>
          <w:bCs/>
        </w:rPr>
        <w:t>fără TVA, calculați la cursul InfoEuro aferent lunii octombrie 2022: (1 EUR = 4,9481 RON).</w:t>
      </w:r>
      <w:bookmarkStart w:id="3" w:name="_Hlk127132027"/>
      <w:r w:rsidRPr="00FF700D">
        <w:rPr>
          <w:bCs/>
        </w:rPr>
        <w:t xml:space="preserve"> </w:t>
      </w:r>
      <w:bookmarkEnd w:id="3"/>
    </w:p>
    <w:p w:rsidR="00CC49CF" w:rsidRPr="00FF700D" w:rsidRDefault="00CC49CF" w:rsidP="00274332">
      <w:pPr>
        <w:ind w:firstLine="540"/>
        <w:jc w:val="both"/>
      </w:pPr>
      <w:r w:rsidRPr="00FF700D">
        <w:t>Municipiul Timișoara, în calitate de autoritate publică locală, conform OUG nr.57/2019</w:t>
      </w:r>
      <w:r w:rsidR="009E170A" w:rsidRPr="00FF700D">
        <w:t>,</w:t>
      </w:r>
      <w:r w:rsidRPr="00FF700D">
        <w:t xml:space="preserve"> se va asigura de punerea la dispoziție a unui teren în suprafață de minimum 20.000 m</w:t>
      </w:r>
      <w:r w:rsidRPr="00FF700D">
        <w:rPr>
          <w:vertAlign w:val="superscript"/>
        </w:rPr>
        <w:t>2</w:t>
      </w:r>
      <w:r w:rsidR="009E170A" w:rsidRPr="00FF700D">
        <w:t xml:space="preserve">, construirea și dotarea campusului, </w:t>
      </w:r>
      <w:r w:rsidRPr="00FF700D">
        <w:t xml:space="preserve">iar bursele pentru elevi vor avea obligatoriu valoarea de minimum 400 lei pe lună/elev și vor fi oferite obligatoriu și direct elevilor pe toată durata școlarizării, din bugetul proiectului, de către Municipiul Timișoara, în calitate de UAT partener în Proiect, îndeplinirea ambelor cerințe fiind condiție de eligibilitate. </w:t>
      </w:r>
    </w:p>
    <w:p w:rsidR="00FE52E3" w:rsidRPr="00FF700D" w:rsidRDefault="00FE52E3" w:rsidP="00FE52E3">
      <w:pPr>
        <w:jc w:val="both"/>
        <w:rPr>
          <w:bCs/>
        </w:rPr>
      </w:pPr>
      <w:r w:rsidRPr="00FF700D">
        <w:rPr>
          <w:bCs/>
        </w:rPr>
        <w:t>Valoarea contribuției proprii suportată de către Municipiul Timișoara la implementarea proiectului este în cuantum de 28.668.987,50 Lei din care valoarea fără TVA este de 24.202.857,00 Lei, echivalentul a 4.891.343,55 Euro fără TVA, și TVA este în valoare de 4.466.130,50 Lei, echivalentul a 902.595,04 Euro, conform celor menționate la art.3.</w:t>
      </w:r>
    </w:p>
    <w:p w:rsidR="00FE52E3" w:rsidRPr="00FF700D" w:rsidRDefault="00FE52E3" w:rsidP="00274332">
      <w:pPr>
        <w:jc w:val="both"/>
        <w:rPr>
          <w:b/>
          <w:spacing w:val="-1"/>
        </w:rPr>
      </w:pPr>
    </w:p>
    <w:p w:rsidR="009D1CAE" w:rsidRPr="00FF700D" w:rsidRDefault="00FC7502" w:rsidP="00274332">
      <w:pPr>
        <w:jc w:val="both"/>
        <w:rPr>
          <w:b/>
          <w:spacing w:val="-1"/>
        </w:rPr>
      </w:pPr>
      <w:r w:rsidRPr="00FF700D">
        <w:rPr>
          <w:b/>
          <w:spacing w:val="-1"/>
        </w:rPr>
        <w:t xml:space="preserve">3. </w:t>
      </w:r>
      <w:r w:rsidR="0034492C" w:rsidRPr="00FF700D">
        <w:rPr>
          <w:b/>
          <w:spacing w:val="-1"/>
        </w:rPr>
        <w:t>Concluzii</w:t>
      </w:r>
      <w:r w:rsidR="00064271" w:rsidRPr="00FF700D">
        <w:rPr>
          <w:b/>
          <w:spacing w:val="-1"/>
        </w:rPr>
        <w:t>:</w:t>
      </w:r>
    </w:p>
    <w:p w:rsidR="00A106A8" w:rsidRPr="00FF700D" w:rsidRDefault="00A106A8" w:rsidP="00274332">
      <w:pPr>
        <w:autoSpaceDE w:val="0"/>
        <w:autoSpaceDN w:val="0"/>
        <w:adjustRightInd w:val="0"/>
        <w:ind w:firstLine="720"/>
        <w:jc w:val="both"/>
        <w:rPr>
          <w:bCs/>
        </w:rPr>
      </w:pPr>
      <w:r w:rsidRPr="00FF700D">
        <w:rPr>
          <w:bCs/>
        </w:rPr>
        <w:t xml:space="preserve">Având în vedere necesitatea și oportunitatea accesării fondurilor </w:t>
      </w:r>
      <w:r w:rsidR="00B51530" w:rsidRPr="00FF700D">
        <w:rPr>
          <w:bCs/>
        </w:rPr>
        <w:t xml:space="preserve">europene </w:t>
      </w:r>
      <w:r w:rsidRPr="00FF700D">
        <w:rPr>
          <w:bCs/>
        </w:rPr>
        <w:t>nerambursabile disponibile prin</w:t>
      </w:r>
      <w:r w:rsidR="003C3415" w:rsidRPr="00FF700D">
        <w:t xml:space="preserve"> </w:t>
      </w:r>
      <w:r w:rsidR="00FC7502" w:rsidRPr="00FF700D">
        <w:t>PLANUL NAȚIONAL DE REDRESARE ȘI REZILIENȚĂ, Pilonul IV: Politici pentru noua generație Componenta C15: Educație Reforma 4: Crearea unei rute profesionale complete pentru învățământul tehnic superior Investiția 6: Dezvoltarea a minimum 10 consorții regionale și dezvoltarea și dotarea a minimum 10 campusuri profesionale integrate</w:t>
      </w:r>
      <w:r w:rsidR="006A5A07" w:rsidRPr="00FF700D">
        <w:t xml:space="preserve">, se propune </w:t>
      </w:r>
      <w:r w:rsidR="00CC49CF" w:rsidRPr="00FF700D">
        <w:rPr>
          <w:bCs/>
        </w:rPr>
        <w:t xml:space="preserve">aprobarea participării Municipiului Timișoara în cadrul </w:t>
      </w:r>
      <w:r w:rsidR="002C2F88" w:rsidRPr="00FF700D">
        <w:t>p</w:t>
      </w:r>
      <w:r w:rsidR="00CC49CF" w:rsidRPr="00FF700D">
        <w:t xml:space="preserve">roiectului </w:t>
      </w:r>
      <w:r w:rsidR="00E90A48" w:rsidRPr="00E90A48">
        <w:t>„</w:t>
      </w:r>
      <w:r w:rsidR="00E90A48" w:rsidRPr="00E90A48">
        <w:rPr>
          <w:bCs/>
        </w:rPr>
        <w:t>Rută integrată completă pentru învățământul dual în regiunea de Vest prin dezvoltarea și operaționalizarea Consorțiului Regional pentru Învățământ Dual VEST Timișoara</w:t>
      </w:r>
      <w:r w:rsidR="00E90A48" w:rsidRPr="00E90A48">
        <w:t>”</w:t>
      </w:r>
      <w:r w:rsidR="00CC49CF" w:rsidRPr="00FF700D">
        <w:rPr>
          <w:bCs/>
        </w:rPr>
        <w:t xml:space="preserve"> și a cheltuielilor aferente proiectului în vederea finanțării prin PNRR 2020-2026</w:t>
      </w:r>
      <w:r w:rsidR="009E170A" w:rsidRPr="00FF700D">
        <w:rPr>
          <w:bCs/>
        </w:rPr>
        <w:t>, de la bugetul de stat și din contribuția proprie a Municipiului Timișoara.</w:t>
      </w:r>
    </w:p>
    <w:p w:rsidR="00E35FFA" w:rsidRPr="00FF700D" w:rsidRDefault="00E35FFA" w:rsidP="00274332">
      <w:pPr>
        <w:autoSpaceDE w:val="0"/>
        <w:autoSpaceDN w:val="0"/>
        <w:adjustRightInd w:val="0"/>
        <w:ind w:firstLine="720"/>
        <w:jc w:val="both"/>
      </w:pPr>
    </w:p>
    <w:p w:rsidR="00E6000D" w:rsidRDefault="00E6000D" w:rsidP="00E6000D">
      <w:pPr>
        <w:ind w:firstLine="720"/>
        <w:rPr>
          <w:b/>
          <w:spacing w:val="-1"/>
        </w:rPr>
      </w:pPr>
      <w:r w:rsidRPr="00E75E02">
        <w:rPr>
          <w:b/>
          <w:bCs/>
          <w:color w:val="000000"/>
        </w:rPr>
        <w:t xml:space="preserve">     PRIMAR</w:t>
      </w:r>
      <w:r w:rsidRPr="00E75E02">
        <w:rPr>
          <w:b/>
          <w:spacing w:val="-1"/>
        </w:rPr>
        <w:t xml:space="preserve"> </w:t>
      </w:r>
      <w:r>
        <w:rPr>
          <w:b/>
          <w:spacing w:val="-1"/>
        </w:rPr>
        <w:tab/>
      </w:r>
      <w:r>
        <w:rPr>
          <w:b/>
          <w:spacing w:val="-1"/>
        </w:rPr>
        <w:tab/>
      </w:r>
      <w:r>
        <w:rPr>
          <w:b/>
          <w:spacing w:val="-1"/>
        </w:rPr>
        <w:tab/>
      </w:r>
      <w:r>
        <w:rPr>
          <w:b/>
          <w:spacing w:val="-1"/>
        </w:rPr>
        <w:tab/>
      </w:r>
      <w:r>
        <w:rPr>
          <w:b/>
          <w:spacing w:val="-1"/>
        </w:rPr>
        <w:tab/>
      </w:r>
      <w:r>
        <w:rPr>
          <w:b/>
          <w:spacing w:val="-1"/>
        </w:rPr>
        <w:tab/>
        <w:t>DIRECTOR EXECUTIV</w:t>
      </w:r>
    </w:p>
    <w:p w:rsidR="00E6000D" w:rsidRPr="00E75E02" w:rsidRDefault="00E6000D" w:rsidP="00E6000D">
      <w:pPr>
        <w:ind w:firstLine="720"/>
        <w:rPr>
          <w:b/>
          <w:spacing w:val="-1"/>
        </w:rPr>
      </w:pPr>
      <w:r>
        <w:rPr>
          <w:b/>
          <w:spacing w:val="-1"/>
        </w:rPr>
        <w:tab/>
      </w:r>
      <w:r>
        <w:rPr>
          <w:b/>
          <w:spacing w:val="-1"/>
        </w:rPr>
        <w:tab/>
      </w:r>
      <w:r>
        <w:rPr>
          <w:b/>
          <w:spacing w:val="-1"/>
        </w:rPr>
        <w:tab/>
      </w:r>
      <w:r>
        <w:rPr>
          <w:b/>
          <w:spacing w:val="-1"/>
        </w:rPr>
        <w:tab/>
      </w:r>
      <w:r>
        <w:rPr>
          <w:b/>
          <w:spacing w:val="-1"/>
        </w:rPr>
        <w:tab/>
      </w:r>
      <w:r>
        <w:rPr>
          <w:b/>
          <w:spacing w:val="-1"/>
        </w:rPr>
        <w:tab/>
      </w:r>
      <w:r>
        <w:rPr>
          <w:b/>
          <w:spacing w:val="-1"/>
        </w:rPr>
        <w:tab/>
        <w:t>DIRECȚIA INCUBATOR DE PROIECTE</w:t>
      </w:r>
    </w:p>
    <w:p w:rsidR="00E6000D" w:rsidRPr="00E75E02" w:rsidRDefault="00E6000D" w:rsidP="00E6000D">
      <w:pPr>
        <w:ind w:firstLine="720"/>
        <w:rPr>
          <w:b/>
          <w:spacing w:val="-1"/>
        </w:rPr>
      </w:pPr>
      <w:r>
        <w:rPr>
          <w:b/>
          <w:bCs/>
          <w:color w:val="000000"/>
        </w:rPr>
        <w:t xml:space="preserve">     </w:t>
      </w:r>
      <w:r w:rsidRPr="00E75E02">
        <w:rPr>
          <w:b/>
          <w:bCs/>
          <w:color w:val="000000"/>
        </w:rPr>
        <w:t>Dominic FRITZ</w:t>
      </w:r>
      <w:r w:rsidRPr="00E75E02">
        <w:rPr>
          <w:b/>
          <w:bCs/>
          <w:color w:val="000000"/>
        </w:rPr>
        <w:tab/>
      </w:r>
      <w:r w:rsidRPr="00E75E02">
        <w:rPr>
          <w:b/>
          <w:bCs/>
          <w:color w:val="000000"/>
        </w:rPr>
        <w:tab/>
      </w:r>
      <w:r w:rsidRPr="00E75E02">
        <w:rPr>
          <w:b/>
          <w:bCs/>
          <w:color w:val="000000"/>
        </w:rPr>
        <w:tab/>
      </w:r>
      <w:r>
        <w:rPr>
          <w:b/>
          <w:spacing w:val="-1"/>
        </w:rPr>
        <w:t xml:space="preserve"> </w:t>
      </w:r>
      <w:r>
        <w:rPr>
          <w:b/>
          <w:spacing w:val="-1"/>
        </w:rPr>
        <w:tab/>
      </w:r>
      <w:r>
        <w:rPr>
          <w:b/>
          <w:spacing w:val="-1"/>
        </w:rPr>
        <w:tab/>
        <w:t>Adriana</w:t>
      </w:r>
      <w:r w:rsidRPr="00E75E02">
        <w:rPr>
          <w:b/>
          <w:spacing w:val="-1"/>
        </w:rPr>
        <w:t xml:space="preserve"> </w:t>
      </w:r>
      <w:r>
        <w:rPr>
          <w:b/>
          <w:spacing w:val="-1"/>
        </w:rPr>
        <w:t>DEACONU</w:t>
      </w:r>
    </w:p>
    <w:p w:rsidR="00B9698F" w:rsidRPr="00FF700D" w:rsidRDefault="00B9698F" w:rsidP="00B9698F">
      <w:pPr>
        <w:rPr>
          <w:b/>
          <w:sz w:val="20"/>
          <w:szCs w:val="20"/>
        </w:rPr>
      </w:pPr>
    </w:p>
    <w:p w:rsidR="00B9698F" w:rsidRPr="00FF700D" w:rsidRDefault="00B9698F" w:rsidP="00B9698F">
      <w:pPr>
        <w:rPr>
          <w:b/>
          <w:sz w:val="20"/>
          <w:szCs w:val="20"/>
        </w:rPr>
      </w:pPr>
    </w:p>
    <w:p w:rsidR="00274332" w:rsidRPr="00FF700D" w:rsidRDefault="00274332" w:rsidP="00B9698F">
      <w:pPr>
        <w:rPr>
          <w:b/>
          <w:sz w:val="20"/>
          <w:szCs w:val="20"/>
        </w:rPr>
      </w:pPr>
    </w:p>
    <w:p w:rsidR="00E6000D" w:rsidRPr="00FF700D" w:rsidRDefault="00E6000D" w:rsidP="00B9698F">
      <w:pPr>
        <w:rPr>
          <w:b/>
          <w:sz w:val="20"/>
          <w:szCs w:val="20"/>
        </w:rPr>
      </w:pPr>
    </w:p>
    <w:p w:rsidR="00274332" w:rsidRPr="00FF700D" w:rsidRDefault="00274332" w:rsidP="00B9698F">
      <w:pPr>
        <w:rPr>
          <w:b/>
          <w:sz w:val="20"/>
          <w:szCs w:val="20"/>
        </w:rPr>
      </w:pPr>
    </w:p>
    <w:p w:rsidR="0034492C" w:rsidRPr="00FF700D" w:rsidRDefault="00A106A8" w:rsidP="00B9698F">
      <w:pPr>
        <w:rPr>
          <w:b/>
          <w:sz w:val="16"/>
          <w:szCs w:val="16"/>
        </w:rPr>
      </w:pPr>
      <w:r w:rsidRPr="00FF700D">
        <w:rPr>
          <w:sz w:val="16"/>
          <w:szCs w:val="16"/>
        </w:rPr>
        <w:t xml:space="preserve">NOTĂ: Elementele de natură tehnică, de detaliu, se vor regăsi în raportul de specialitate și, dacă se </w:t>
      </w:r>
      <w:r w:rsidR="003C3415" w:rsidRPr="00FF700D">
        <w:rPr>
          <w:sz w:val="16"/>
          <w:szCs w:val="16"/>
        </w:rPr>
        <w:t>impune, în nota de fundamentare</w:t>
      </w:r>
    </w:p>
    <w:sectPr w:rsidR="0034492C" w:rsidRPr="00FF700D" w:rsidSect="00B9698F">
      <w:footerReference w:type="default" r:id="rId7"/>
      <w:pgSz w:w="12240" w:h="15840"/>
      <w:pgMar w:top="709" w:right="720" w:bottom="720" w:left="1170" w:header="706"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1D0" w:rsidRDefault="004321D0" w:rsidP="00022B0C">
      <w:r>
        <w:separator/>
      </w:r>
    </w:p>
  </w:endnote>
  <w:endnote w:type="continuationSeparator" w:id="0">
    <w:p w:rsidR="004321D0" w:rsidRDefault="004321D0" w:rsidP="00022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C4C" w:rsidRPr="00906EE9" w:rsidRDefault="00E86C4C" w:rsidP="00906EE9">
    <w:pPr>
      <w:pStyle w:val="Footer"/>
      <w:jc w:val="right"/>
      <w:rPr>
        <w:sz w:val="18"/>
        <w:szCs w:val="18"/>
      </w:rPr>
    </w:pPr>
    <w:r w:rsidRPr="00906EE9">
      <w:rPr>
        <w:sz w:val="18"/>
        <w:szCs w:val="18"/>
      </w:rPr>
      <w:t xml:space="preserve">                                                                                                                                    Cod FO53-03,Ver.3</w:t>
    </w:r>
  </w:p>
  <w:p w:rsidR="00E86C4C" w:rsidRPr="00906EE9" w:rsidRDefault="00E86C4C" w:rsidP="00906EE9">
    <w:pPr>
      <w:pStyle w:val="Footer"/>
      <w:jc w:val="right"/>
      <w:rPr>
        <w:sz w:val="18"/>
        <w:szCs w:val="18"/>
      </w:rPr>
    </w:pPr>
  </w:p>
  <w:p w:rsidR="00E86C4C" w:rsidRDefault="00E86C4C">
    <w:pPr>
      <w:pStyle w:val="Footer"/>
    </w:pPr>
  </w:p>
  <w:p w:rsidR="00E86C4C" w:rsidRDefault="00E86C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1D0" w:rsidRDefault="004321D0" w:rsidP="00022B0C">
      <w:r>
        <w:separator/>
      </w:r>
    </w:p>
  </w:footnote>
  <w:footnote w:type="continuationSeparator" w:id="0">
    <w:p w:rsidR="004321D0" w:rsidRDefault="004321D0" w:rsidP="00022B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6EA3657"/>
    <w:multiLevelType w:val="hybridMultilevel"/>
    <w:tmpl w:val="BEB00E94"/>
    <w:lvl w:ilvl="0" w:tplc="0F0CAD96">
      <w:numFmt w:val="bullet"/>
      <w:lvlText w:val="-"/>
      <w:lvlJc w:val="left"/>
      <w:pPr>
        <w:ind w:left="918" w:hanging="495"/>
      </w:pPr>
      <w:rPr>
        <w:rFonts w:ascii="Times New Roman" w:eastAsia="Times New Roman"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
    <w:nsid w:val="623A20C2"/>
    <w:multiLevelType w:val="hybridMultilevel"/>
    <w:tmpl w:val="E4067136"/>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4">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1"/>
    <w:footnote w:id="0"/>
  </w:footnotePr>
  <w:endnotePr>
    <w:endnote w:id="-1"/>
    <w:endnote w:id="0"/>
  </w:endnotePr>
  <w:compat/>
  <w:rsids>
    <w:rsidRoot w:val="0034492C"/>
    <w:rsid w:val="00000C3C"/>
    <w:rsid w:val="000049B2"/>
    <w:rsid w:val="00022B0C"/>
    <w:rsid w:val="00040D5D"/>
    <w:rsid w:val="00064271"/>
    <w:rsid w:val="00065B5E"/>
    <w:rsid w:val="00084E72"/>
    <w:rsid w:val="000A0725"/>
    <w:rsid w:val="000C27C1"/>
    <w:rsid w:val="000D230C"/>
    <w:rsid w:val="000E4917"/>
    <w:rsid w:val="000E628A"/>
    <w:rsid w:val="00102307"/>
    <w:rsid w:val="00126148"/>
    <w:rsid w:val="0014770D"/>
    <w:rsid w:val="00153514"/>
    <w:rsid w:val="001677AC"/>
    <w:rsid w:val="0017304B"/>
    <w:rsid w:val="00185ED2"/>
    <w:rsid w:val="001862D9"/>
    <w:rsid w:val="001908FB"/>
    <w:rsid w:val="001B0D1E"/>
    <w:rsid w:val="001C20D5"/>
    <w:rsid w:val="001C3993"/>
    <w:rsid w:val="001D63E8"/>
    <w:rsid w:val="001F0610"/>
    <w:rsid w:val="001F26C7"/>
    <w:rsid w:val="00214958"/>
    <w:rsid w:val="00240362"/>
    <w:rsid w:val="002440C4"/>
    <w:rsid w:val="0024601B"/>
    <w:rsid w:val="00246B86"/>
    <w:rsid w:val="00257071"/>
    <w:rsid w:val="00274332"/>
    <w:rsid w:val="002766C2"/>
    <w:rsid w:val="00286F5A"/>
    <w:rsid w:val="002A130E"/>
    <w:rsid w:val="002A4630"/>
    <w:rsid w:val="002C1DFD"/>
    <w:rsid w:val="002C2F88"/>
    <w:rsid w:val="002C389F"/>
    <w:rsid w:val="002D39D1"/>
    <w:rsid w:val="002E0A4A"/>
    <w:rsid w:val="002F1874"/>
    <w:rsid w:val="00310338"/>
    <w:rsid w:val="00311074"/>
    <w:rsid w:val="00314802"/>
    <w:rsid w:val="00333ECE"/>
    <w:rsid w:val="00342ED0"/>
    <w:rsid w:val="0034492C"/>
    <w:rsid w:val="00345837"/>
    <w:rsid w:val="00356BC6"/>
    <w:rsid w:val="00364109"/>
    <w:rsid w:val="00374C77"/>
    <w:rsid w:val="00377B53"/>
    <w:rsid w:val="00387787"/>
    <w:rsid w:val="00395C55"/>
    <w:rsid w:val="00396FF7"/>
    <w:rsid w:val="00397E8D"/>
    <w:rsid w:val="003A187E"/>
    <w:rsid w:val="003A4634"/>
    <w:rsid w:val="003B2AEC"/>
    <w:rsid w:val="003C2D1E"/>
    <w:rsid w:val="003C3415"/>
    <w:rsid w:val="003C7E43"/>
    <w:rsid w:val="003D282E"/>
    <w:rsid w:val="003D7C60"/>
    <w:rsid w:val="003E250F"/>
    <w:rsid w:val="003F0E0B"/>
    <w:rsid w:val="00413364"/>
    <w:rsid w:val="00414701"/>
    <w:rsid w:val="004321D0"/>
    <w:rsid w:val="00432E71"/>
    <w:rsid w:val="0043321A"/>
    <w:rsid w:val="0046267C"/>
    <w:rsid w:val="0048247F"/>
    <w:rsid w:val="004F3491"/>
    <w:rsid w:val="005060D4"/>
    <w:rsid w:val="00511E0D"/>
    <w:rsid w:val="00514DD0"/>
    <w:rsid w:val="00523DEE"/>
    <w:rsid w:val="005444D4"/>
    <w:rsid w:val="00564549"/>
    <w:rsid w:val="005766E1"/>
    <w:rsid w:val="00581C8F"/>
    <w:rsid w:val="005866D0"/>
    <w:rsid w:val="00587600"/>
    <w:rsid w:val="00587C30"/>
    <w:rsid w:val="00594E7B"/>
    <w:rsid w:val="005969CE"/>
    <w:rsid w:val="00596C29"/>
    <w:rsid w:val="005B016A"/>
    <w:rsid w:val="005B2885"/>
    <w:rsid w:val="005C097F"/>
    <w:rsid w:val="005D5283"/>
    <w:rsid w:val="005E192D"/>
    <w:rsid w:val="005F3097"/>
    <w:rsid w:val="00603794"/>
    <w:rsid w:val="006323B6"/>
    <w:rsid w:val="0063516B"/>
    <w:rsid w:val="006351E3"/>
    <w:rsid w:val="006440BF"/>
    <w:rsid w:val="00672C54"/>
    <w:rsid w:val="006749C1"/>
    <w:rsid w:val="00683B47"/>
    <w:rsid w:val="00684482"/>
    <w:rsid w:val="006907A5"/>
    <w:rsid w:val="006A5A07"/>
    <w:rsid w:val="006C1D03"/>
    <w:rsid w:val="006D2156"/>
    <w:rsid w:val="006F0A80"/>
    <w:rsid w:val="006F42C1"/>
    <w:rsid w:val="00702E3A"/>
    <w:rsid w:val="00707427"/>
    <w:rsid w:val="007223D5"/>
    <w:rsid w:val="00734251"/>
    <w:rsid w:val="00752995"/>
    <w:rsid w:val="007647A3"/>
    <w:rsid w:val="007865ED"/>
    <w:rsid w:val="007A47AB"/>
    <w:rsid w:val="007D1483"/>
    <w:rsid w:val="008054ED"/>
    <w:rsid w:val="008063F2"/>
    <w:rsid w:val="00824F97"/>
    <w:rsid w:val="00833B34"/>
    <w:rsid w:val="00841AA8"/>
    <w:rsid w:val="00845302"/>
    <w:rsid w:val="00854DCB"/>
    <w:rsid w:val="00856FBA"/>
    <w:rsid w:val="00865611"/>
    <w:rsid w:val="00877B79"/>
    <w:rsid w:val="008A1B8F"/>
    <w:rsid w:val="008B0925"/>
    <w:rsid w:val="008B68D5"/>
    <w:rsid w:val="0090335D"/>
    <w:rsid w:val="009059E6"/>
    <w:rsid w:val="00906EE9"/>
    <w:rsid w:val="00914DC9"/>
    <w:rsid w:val="00917DFF"/>
    <w:rsid w:val="00945E21"/>
    <w:rsid w:val="00951A1A"/>
    <w:rsid w:val="009707FA"/>
    <w:rsid w:val="009755D2"/>
    <w:rsid w:val="009C0C2D"/>
    <w:rsid w:val="009D1CAE"/>
    <w:rsid w:val="009E0453"/>
    <w:rsid w:val="009E170A"/>
    <w:rsid w:val="009E6C5E"/>
    <w:rsid w:val="009F0787"/>
    <w:rsid w:val="00A077C7"/>
    <w:rsid w:val="00A106A8"/>
    <w:rsid w:val="00A14AD4"/>
    <w:rsid w:val="00A158D9"/>
    <w:rsid w:val="00A31B1C"/>
    <w:rsid w:val="00A33878"/>
    <w:rsid w:val="00A43FEC"/>
    <w:rsid w:val="00A47B5D"/>
    <w:rsid w:val="00A71CF6"/>
    <w:rsid w:val="00A84CFE"/>
    <w:rsid w:val="00A9183D"/>
    <w:rsid w:val="00AC65BC"/>
    <w:rsid w:val="00AD58CA"/>
    <w:rsid w:val="00AE07D6"/>
    <w:rsid w:val="00B04026"/>
    <w:rsid w:val="00B079D5"/>
    <w:rsid w:val="00B305B4"/>
    <w:rsid w:val="00B51530"/>
    <w:rsid w:val="00B76094"/>
    <w:rsid w:val="00B9376E"/>
    <w:rsid w:val="00B9698F"/>
    <w:rsid w:val="00BA3470"/>
    <w:rsid w:val="00BB3443"/>
    <w:rsid w:val="00BB6726"/>
    <w:rsid w:val="00BC485C"/>
    <w:rsid w:val="00BC4ED7"/>
    <w:rsid w:val="00BD7081"/>
    <w:rsid w:val="00BE0BFC"/>
    <w:rsid w:val="00BF410D"/>
    <w:rsid w:val="00C0701F"/>
    <w:rsid w:val="00C209CB"/>
    <w:rsid w:val="00C21939"/>
    <w:rsid w:val="00C42234"/>
    <w:rsid w:val="00C44C97"/>
    <w:rsid w:val="00C47503"/>
    <w:rsid w:val="00C57D03"/>
    <w:rsid w:val="00C94F9A"/>
    <w:rsid w:val="00C95B82"/>
    <w:rsid w:val="00CC2030"/>
    <w:rsid w:val="00CC49CF"/>
    <w:rsid w:val="00CD7FE8"/>
    <w:rsid w:val="00CE0045"/>
    <w:rsid w:val="00CE56B9"/>
    <w:rsid w:val="00CF630A"/>
    <w:rsid w:val="00D00667"/>
    <w:rsid w:val="00D02901"/>
    <w:rsid w:val="00D03DCE"/>
    <w:rsid w:val="00D04C36"/>
    <w:rsid w:val="00D1767D"/>
    <w:rsid w:val="00D2286D"/>
    <w:rsid w:val="00D3033E"/>
    <w:rsid w:val="00D4510D"/>
    <w:rsid w:val="00D5113D"/>
    <w:rsid w:val="00D736BD"/>
    <w:rsid w:val="00D86C73"/>
    <w:rsid w:val="00D901D0"/>
    <w:rsid w:val="00D95DB7"/>
    <w:rsid w:val="00D9604E"/>
    <w:rsid w:val="00DE314A"/>
    <w:rsid w:val="00DF788F"/>
    <w:rsid w:val="00E17892"/>
    <w:rsid w:val="00E274CA"/>
    <w:rsid w:val="00E35FFA"/>
    <w:rsid w:val="00E435F0"/>
    <w:rsid w:val="00E44B9D"/>
    <w:rsid w:val="00E550E2"/>
    <w:rsid w:val="00E55783"/>
    <w:rsid w:val="00E560B2"/>
    <w:rsid w:val="00E6000D"/>
    <w:rsid w:val="00E62786"/>
    <w:rsid w:val="00E666E6"/>
    <w:rsid w:val="00E73422"/>
    <w:rsid w:val="00E739AA"/>
    <w:rsid w:val="00E752D9"/>
    <w:rsid w:val="00E753C1"/>
    <w:rsid w:val="00E75E02"/>
    <w:rsid w:val="00E86C4C"/>
    <w:rsid w:val="00E90A48"/>
    <w:rsid w:val="00EB186F"/>
    <w:rsid w:val="00EB469E"/>
    <w:rsid w:val="00ED1030"/>
    <w:rsid w:val="00ED50A0"/>
    <w:rsid w:val="00EE4B3D"/>
    <w:rsid w:val="00F23C72"/>
    <w:rsid w:val="00F55B3D"/>
    <w:rsid w:val="00F5707F"/>
    <w:rsid w:val="00F83F8F"/>
    <w:rsid w:val="00F95D00"/>
    <w:rsid w:val="00FB00A4"/>
    <w:rsid w:val="00FB7ED6"/>
    <w:rsid w:val="00FC1546"/>
    <w:rsid w:val="00FC7502"/>
    <w:rsid w:val="00FD3A76"/>
    <w:rsid w:val="00FE52E3"/>
    <w:rsid w:val="00FF0135"/>
    <w:rsid w:val="00FF17DF"/>
    <w:rsid w:val="00FF63EE"/>
    <w:rsid w:val="00FF7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mtelbis</cp:lastModifiedBy>
  <cp:revision>20</cp:revision>
  <cp:lastPrinted>2023-01-27T06:26:00Z</cp:lastPrinted>
  <dcterms:created xsi:type="dcterms:W3CDTF">2023-02-10T09:26:00Z</dcterms:created>
  <dcterms:modified xsi:type="dcterms:W3CDTF">2023-03-06T10:16:00Z</dcterms:modified>
</cp:coreProperties>
</file>