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Anexa nr. 1 la H.C.L. nr. _______________</w:t>
      </w:r>
    </w:p>
    <w:p w:rsidR="00000000" w:rsidDel="00000000" w:rsidP="00000000" w:rsidRDefault="00000000" w:rsidRPr="00000000" w14:paraId="00000002">
      <w:pPr>
        <w:spacing w:after="0" w:lineRule="auto"/>
        <w:jc w:val="righ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3">
      <w:pPr>
        <w:spacing w:after="0" w:lineRule="auto"/>
        <w:jc w:val="righ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4">
      <w:pPr>
        <w:spacing w:after="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REGULAMENT</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organizare și funcționare al Comisiei de evaluare și selecționare a asociațiilor, fundațiilor și cultelor recunoscute în România, acreditate ca furnizori de servicii sociale potrivit legii române, cu personalitate juridică, care înființează și administrează unități de asistență socială, care pot primi subvenții de la bugetul local în baza Legii nr. 34/1998 pentru anul 2024, în completarea resurselor proprii</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Obiectivul Comisiei de evaluare și selecționare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Comisia de evaluare și selecționare, denumită în continuare comisie, are ca obiectiv evaluarea și selecționarea asociațiilor, fundațiilor și cultelor recunoscute în România, acreditate ca furnizori de servicii sociale potrivit legii, în vederea acordării subvențiilor de la bugetul local, în temeiul Legii nr. 34/1998 privind acordarea unor subvenții asociațiilor, fundațiilor și cultelor recunoscute în România, acreditate ca furnizori de servicii sociale potrivit legii române, cu personalitate juridică, care înființează și administrează unități de asistență socială și al Normelor metodologice de aplicare  prevederilor Legii nr. 34/1998, aprobate prin Hotărârea Guvernului nr. 1153/2001, modificate și completate prin Hotărârea Guvernului nr. 725/05.10.2016 și prin Hotărârea nr. 619/30.08.2017 denumite în continuare Norme metodologice, modificată prin Legea nr. 79/2017 pentru completarea Legii nr. 34/1998.</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Comisia de evaluare și selecționare verifică dacă asociațiile, fundațiile și cultele recunoscute în România, acreditate ca furnizori de servicii sociale potrivit legii, îndeplinesc următoarele condiții de eligibilitate:</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Sunt persoane juridice române de drept privat, fără scop patrimonial, acreditate ca furnizor de servicii sociale, potrivit legii;</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Dețin licență de funcționare pentru serviciile sociale pentru care solicită subvenția;</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Solicită subvenții în completarea resurselor financiare proprii.</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Perioada în care comisia evaluează și selecționează asociațiile și fundațiile</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Termenul limită pentru depunerea documentației în vederea solicitării subvențiilor pentru anul următor este de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10 zile lucrătoare de la data aprobării hotărârii de consiliu local.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Documentația de solicitare a subvenției se înaintează în pachet închis, într-un singur exemplar, cu specificarea numărului de pagini, sau se depune electronic, conform procedurii de depunere electronică a documentației de solicitare a subvenției aprobată prin HCL, de către asociațiile, fundațiile și cultele recunoscute în România, acreditate ca furnizori de servicii sociale potrivit legii, interesate și se înregistrează la registratura Direcției de Asistență Socială a Municipiului Timișoara (Strada Plavoșin, Nr. 21) până la ora 12 în ultima zi de depunere, pentru subvențiile acordate de la bugetul local.</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Perioada în care comisia evaluează și selecționează asociațiile, fundațiile și cultele recunoscute în România, acreditate ca furnizori de servicii sociale potrivit legii,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începe în momentul expirării termenului limită de depunere a documentației și durează maxim 15 zile lucrătoare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Activitatea secretarului comisiei începe după expirarea termenului limită de depunere a documentație la registratura Direcției de Asistență Socială a Municipiului Timișoara pentru solicitarea de subvenții.</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Atribuțiile comisiei</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Comisia are următoarele atribuții:</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constată dacă asociațiile, fundațiile și cultele recunoscute în România, acreditate ca furnizori de servicii sociale potrivit legii, care solicită subvenție sunt persoane juridice române de drept privat fără scop patrimonial, acreditate ca furnizor de servicii sociale, potrivit legii, prin consultarea Certificatului de înscriere și extrasul actualizat din Registrul asociațiilor și fundațiilor din dosarul de acreditare al furnizorului de servicii sociale;</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constată dacă asociațiile, fundațiile și cultele recunoscute în România, acreditate ca furnizori de servicii sociale potrivit legii, care solicită subvenție dețin licență de funcționare pentru serviciile sociale pentru care solicită subvenție și verifică dacă numărul maxim de beneficiari subvenționați coincid cu capacitatea maximă aprobată de minister, prin consultarea registrelor administrate de Ministerul Muncii și Protecției Sociale (consultarea on-line la link-ul </w:t>
      </w:r>
      <w:hyperlink r:id="rId7">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http://www.mmuncii.ro/j33/index.php/ro/2014-domenii/familie/politici-familiale-incluziune-si-asistenta-sociala/4848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c.</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analizează conținutul documentației de solicitare a subvenției care cuprinde următoarele:</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cerere de solicitare a subvenției conform modelului, în original, sau completată prin formularul electronic</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Certificatului de înscriere și extrasul actualizat din Registrul asociațiilor și fundațiilor de la Judecătorie</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ultimul bilanț contabil înregistrat la Direcția Generală Regională a Finanțelor Publice Timiș,</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balanța contabilă de verificare din luna anterioară termenului de depunere a documentației (dacă data de depunere a documentelor este înainte de 25 a lunii, se acceptă balanța contabilă din luna anterioară celei solicitate),</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certificat de atestare fiscală, emis de organul fiscal local și central din care să rezulte că nu are datorii, în original, valabil la data depunerii cererii, sau scanate și încărcate în formularul electronic.</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comisia poate solicita clarificări în cazul în care există neclarități cu privire la documentația de solicitare a subvenției;</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realizează verificarea în teren a veridicității informațiilor prezentate în cererea de solicitare a subvenției întocmind un raport privind oportunitatea acordării subvenției, în două exemplare. Unul dintre exemplare va rămâne comisiei, iar celălalt va fi transmis solicitantului subvenției;</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f.</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solicită, dacă este cazul, ca raportul prevăzut la lit. d) să fie însoțit de documente justificative pentru susținerea recomandărilor;</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g.</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evaluează și selecționează asociațiile, fundațiile și cultele recunoscute în România, acreditate ca furnizori de servicii sociale potrivit legii, pe baza criteriilor stabilite și aprobate la art. 6 alin (1) la Norma metodologică de aplicare a prevederilor Legii nr. 34/1998 și prevăzute în grila de evaluare;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h.</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acordă un punctaj, cu încadrarea în maximul de puncte aferent fiecărui criteriu, pentru fiecare dintre criteriile de evaluare și selecționare aprobate în Hotărârea Consiliului Local a Municipiului Timișoara și prevăzute în grila de evaluare;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i.</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realizează departajarea unităților de asistență socială cu același punctaj, în vederea încadrării în bugetul aprobat, conform criteriilor de departajare aprobate în Hotărârea Consiliului Local a Municipiului Timișoara;</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j.</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întocmește lista finală cu asociațiile, fundațiile și cultele recunoscute în România, acreditate ca furnizori de servicii sociale potrivit legii, care vor beneficia de subvenție, prin încadrarea în bugetul aprobat;</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k.</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propune spre aprobare Consiliului Local al Municipiului Timișoara lista asociațiilor, fundațiilor și cultelor recunoscute în România, acreditate ca furnizori de servicii sociale potrivit legii, selecționate, precum și nivelul subvențiilor ce urmează a fi acordate;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l.</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transmite, în termen de trei zile lucrătoare de la data comunicării hotărârii Consiliului Local al Municipiului Timișoara, rezultatul selecției, motivat în cazul ne-acordării subvenției, în scris, prin poștă, fax sau email, asociațiilor, fundațiilor și cultelor recunoscute în România, acreditate ca furnizori de servicii sociale potrivit legii;</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m.</w:t>
        <w:tab/>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transmite Directorului general al Direcției de Asistență Socială a Municipiului Timișoara lista asociațiilor, fundațiilor și cultelor recunoscute în România, acreditate ca furnizori de servicii sociale potrivit legii, care vor beneficia de subvenții de la bugetul local pentru acordarea de servicii de asistență socială, așa cum a fost aprobată de Consiliul Local al Municipiului Timișoara.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n.</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predă Direcției de Asistență Socială a Municipiului Timișoara documentele ce au stat la baza evaluării și selecționării în vederea încheierii convențiilor.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Sarcinile și responsabilitățile comisiei</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 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Sarcinile și responsabilitățile președintelui comisiei sunt următoarele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reprezintă comisia în relațiile cu consiliul local și cu asociațiile, fundațiile și cultele recunoscute în România, acreditate ca furnizori de servicii sociale potrivit legii, solicitante de subvenții;</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b.</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coordonează activitatea membrilor, membrilor supleanți și a secretarului comisiei;</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c.</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împarte atribuțiile între membrii comisiei formându-se subcomisia I și subcomisia II de lucru, în vederea creșterii eficacității și eficienței acesteia;</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d.</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mediază situațiile în care există divergențe între membrii comisiei;</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e.</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participă cu drept de vot la ședințele de lucru ale comisiei;</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f.</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semnează lista asociațiilor, fundațiilor și cultelor recunoscute în România, acreditate ca furnizori de servicii sociale potrivit legii, și a unităților de asistență socială ale acestora evaluate cu un punctaj final de cel puțin 60 de puncte;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g.</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păstrează confidențialitatea datelor cuprinse în documentele verificate în cadrul comisiei;</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 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Sarcinile și responsabilitățile membrilor subcomisiei I sunt următoarele:</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a.</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verifică respectarea termenului de depunere a documentației;</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b.</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verifică documentația de solicitare a subvenției;</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c.</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verifică îndeplinirea de către asociație/fundație/culte a condițiilor de eligibilitate;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d.</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evaluează îndeplinirea condițiilor legale pentru acordarea serviciilor de asistență socială;</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e.</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evaluează asociațiile, fundațiile și cultele recunoscute în România, pe baza criteriilor de evaluare și selecționare stabilite și aprobate prin Hotărârea Consiliului Local al Municipiului Timișoara și prevăzute în grila de evaluare;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f.</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solicită clarificări dacă este cazul;</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g.</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acordă punctajul pentru fiecare unitate de asistenţă socială;</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 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Sarcinile și responsabilitățile membrilor subcomisiei II sunt următoarele:</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deplasează în teren la sediul asociațiilor, fundațiilor și cultelor recunoscute în România, acreditate ca furnizori de servicii sociale potrivit legii, în vederea verificării veridicității informațiilor prezentate în cererea de solicitare a subvenției;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b.</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solicită clarificări dacă este cazul;</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c.</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întocmește raportul privind oportunitatea acordării subvenției, în două exemplare;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d.</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transmite un exemplar al raportului privind oportunitatea acordării subvenției asociației, fundației, cultelor recunoscute în România, acreditate ca furnizori de servicii sociale potrivit legii, la sediul cărora s-a realizat verificarea;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Sarcini și responsabilități comune subcomisiei I – II</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stabilește numărul mediu lunar de persoane asistate pentru care se propune acordarea subvenției;</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b.</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stabilește suma reprezentând subvenția care se propune a fi acordată unității de asistență socială;</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c.</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propune spre aprobare Consiliului Local al Municipiului Timișoara lista asociațiilor, fundațiilor, cultelor, respectiv a unităților de asistență socială ale acestora evaluate cu un punctaj final de cel puțin 60 de puncte;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d.</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departajează unitățile de asistență socială cu același punctaj, în vederea încadrării în bugetul aprobat, conform criteriilor de departajare aprobate în Hotărârea Consiliului Local al Municipiului Timișoara;</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e.</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păstrează confidențialitatea datelor cuprinse în documentele verificate în cadrul comisiei.</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 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Sarcinile și responsabilitățile secretarului comisiei sunt următoarele:</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preia de la registratura Direcției de Asistență Socială a Municipiului Timișoara toate solicitările pentru acordarea de subvenții, le înregistrează în registrul special al comisiei și le păstrează nedesfăcute până la data la care comisia își începe activitatea sau se întrunește pentru a verifica documentația depusă;</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b.</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înregistrează toate documentele privind activitatea comisiei de evaluare și selecționare a asociațiilor, fundațiilor și cultelor într-un registru special;</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c.</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organizează ședințele comisiei, periodic sau la solicitarea președintelui comisiei;</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d.</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întocmește lista asociațiilor, fundațiilor și a cultelor recunoscute în România, acreditate ca furnizori de servicii sociale, a unităților de asistență socială ale acestora evaluate cu un punctaj final de cel puțin 60 de puncte, pe care o înaintează spre a fi semnată de către membrii comisiei și președintele acesteia;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e.</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întocmește și transmite asociațiilor, fundațiilor și cultelor comunicările privind rezultatul selecției;</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f.</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întocmește și răspunde de evidența documentelor emise și primite de comisie;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g.</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întocmește orice alt document solicitat de președintele comisiei în legătură cu activitatea acesteia;</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h.</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păstrează confidențialitatea datelor cuprinse în documentele verificate în cadrul comisiei.</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Procedura de lucru a comisiei în vederea evaluării și selecționării</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 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Evaluarea asociațiilor, fundațiilor și cultelor recunoscute în România, acreditate ca furnizori de servicii sociale potrivit legii, se realizează pe baza criteriilor stabilite și aprobate prin Hotărârea Consiliului Local al Municipiului Timișoara și prevăzute în grila de evaluare de către membrii comisiei;</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subcomisia I realizează verificarea respectării termenului de depunere a documentației, verificarea administrativă, verificarea eligibilității, verificarea tehnică, verificarea și punctarea în funcție de criteriile de evaluare și selecționare;</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subcomisia II realizează verificarea în teren;</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subcomisia I și subcomisia II stabilesc numărul mediu lunar al persoanelor asistate în unitatea de asistență socială și suma reprezentând subvenția ce urmează a fi acordată;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 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În cadrul comisiei au drept de vot numai membrii și președintele acesteia. Deciziile comisiei se iau cu majoritate simplă, în ședințele de lucru colective, convocate periodic sau ori de câte ori este nevoie;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încheierea procesului de evaluare, comisia întocmește lista asociațiilor, fundațiilor și cultelor recunoscute în România și a unităților de asistență socială ale acestora evaluate cu un punctaj final de cel puțin 60 de puncte. În cazul ne-încadrării în bugetul aprobat, comisia aplică criteriile de departajare aprobate în Hotărârea Consiliului Local al Municipiului Timișoara, în vederea selecționării asociațiilor, fundațiilor și cultelor;</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 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Lista prevăzută la art. 10 cuprinde atât numărul de persoane asistate, cât și suma reprezentând subvenția propusă a fi acordată unităților de asistență socială din cadrul asociațiilor, fundațiilor și cultelor recunoscute în România;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 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Comisia întocmește lista și o înaintează SDSP în vederea promovării HCLMT;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 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În termen de trei zile lucrătoare de la data comunicării hotărârii Consiliului Local al Municipiului Timișoara pentru aprobarea nivelului subvențiilor, comisia procedează după cum urmează:</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comunică asociațiilor, fundațiilor și cultelor recunoscute în România, selecționate, nivelul subvențiilor aprobate;</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comunică în scris, rezultatul selecției motivat în cazul neacordării subvenției asociațiilor, fundațiilor și cultelor recunoscute în România, care nu îndeplinesc condițiile;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 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Lista cuprinzând asociațiile, fundațiile, cultele selecționate în vederea acordării subvenției, precum și nivelul subvențiilor acordate și numărul mediu de beneficiari propuși spre subvenționare, va fi publicată pe site-ul Primăriei Municipiului Timișoara și site-ul Direcției de Asistență Socială a Municipiului Timișoara.</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 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Lista asociațiilor, fundațiilor și cultelor recunoscute în România, care au încheiat convenții, unitățile de asistență socială și nivelul subvențiilor acordate se publică în Monitorul Oficial al României, Partea a VI-a, în termen de 30 de zile de la data încheierii convențiilor definitive.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Dispoziții finale</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 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Documentele emise și primite de comisie se evidențiază într-un registru special.</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 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Documentele care au stat la baza evaluării și selecționării asociațiilor, fundațiilor și cultelor recunoscute în România, precum și documentele și registrul special prevăzut la art. 18 se predau spre păstrare Direcției de Asistență Socială a Municipiului Timișoara, care asigură și secretariatul comisiei, la încheierea activității comisiei.</w:t>
      </w:r>
    </w:p>
    <w:p w:rsidR="00000000" w:rsidDel="00000000" w:rsidP="00000000" w:rsidRDefault="00000000" w:rsidRPr="00000000" w14:paraId="0000005B">
      <w:pPr>
        <w:spacing w:after="0" w:lineRule="auto"/>
        <w:jc w:val="both"/>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5C">
      <w:pPr>
        <w:spacing w:after="0" w:lineRule="auto"/>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w:t>
      </w:r>
    </w:p>
    <w:p w:rsidR="00000000" w:rsidDel="00000000" w:rsidP="00000000" w:rsidRDefault="00000000" w:rsidRPr="00000000" w14:paraId="0000005D">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r>
    </w:p>
    <w:p w:rsidR="00000000" w:rsidDel="00000000" w:rsidP="00000000" w:rsidRDefault="00000000" w:rsidRPr="00000000" w14:paraId="0000005E">
      <w:pPr>
        <w:spacing w:after="0" w:lineRule="auto"/>
        <w:jc w:val="both"/>
        <w:rPr>
          <w:rFonts w:ascii="Times New Roman" w:cs="Times New Roman" w:eastAsia="Times New Roman" w:hAnsi="Times New Roman"/>
          <w:color w:val="ff0000"/>
          <w:sz w:val="28"/>
          <w:szCs w:val="28"/>
          <w:vertAlign w:val="baseline"/>
        </w:rPr>
      </w:pPr>
      <w:r w:rsidDel="00000000" w:rsidR="00000000" w:rsidRPr="00000000">
        <w:rPr>
          <w:rtl w:val="0"/>
        </w:rPr>
      </w:r>
    </w:p>
    <w:p w:rsidR="00000000" w:rsidDel="00000000" w:rsidP="00000000" w:rsidRDefault="00000000" w:rsidRPr="00000000" w14:paraId="0000005F">
      <w:pPr>
        <w:spacing w:after="0" w:line="36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DIRECȚIA DE ASISTENȚĂ SOCIALĂ A MUNICIPIULUI TIMIȘOARA</w:t>
      </w:r>
      <w:r w:rsidDel="00000000" w:rsidR="00000000" w:rsidRPr="00000000">
        <w:rPr>
          <w:rtl w:val="0"/>
        </w:rPr>
      </w:r>
    </w:p>
    <w:p w:rsidR="00000000" w:rsidDel="00000000" w:rsidP="00000000" w:rsidRDefault="00000000" w:rsidRPr="00000000" w14:paraId="00000060">
      <w:pPr>
        <w:spacing w:after="0" w:line="36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DIRECTOR GENERAL </w:t>
      </w:r>
      <w:r w:rsidDel="00000000" w:rsidR="00000000" w:rsidRPr="00000000">
        <w:rPr>
          <w:rtl w:val="0"/>
        </w:rPr>
      </w:r>
    </w:p>
    <w:p w:rsidR="00000000" w:rsidDel="00000000" w:rsidP="00000000" w:rsidRDefault="00000000" w:rsidRPr="00000000" w14:paraId="00000061">
      <w:pPr>
        <w:spacing w:after="0" w:line="36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ESZTERO EMESE</w:t>
      </w:r>
      <w:r w:rsidDel="00000000" w:rsidR="00000000" w:rsidRPr="00000000">
        <w:rPr>
          <w:rtl w:val="0"/>
        </w:rPr>
      </w:r>
    </w:p>
    <w:p w:rsidR="00000000" w:rsidDel="00000000" w:rsidP="00000000" w:rsidRDefault="00000000" w:rsidRPr="00000000" w14:paraId="00000062">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3">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4">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5">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6">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7">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8">
      <w:pPr>
        <w:spacing w:after="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ȘEF SERVICIU STRATEGII PROGRAME</w:t>
        <w:tab/>
        <w:tab/>
        <w:tab/>
        <w:tab/>
        <w:t xml:space="preserve">   ÎNTOCMIT,</w:t>
        <w:tab/>
        <w:tab/>
        <w:t xml:space="preserve"> Codruța Darida            </w:t>
        <w:tab/>
        <w:tab/>
        <w:tab/>
        <w:t xml:space="preserve">                              Anca Elena Târziu</w:t>
      </w:r>
      <w:r w:rsidDel="00000000" w:rsidR="00000000" w:rsidRPr="00000000">
        <w:rPr>
          <w:rtl w:val="0"/>
        </w:rPr>
      </w:r>
    </w:p>
    <w:p w:rsidR="00000000" w:rsidDel="00000000" w:rsidP="00000000" w:rsidRDefault="00000000" w:rsidRPr="00000000" w14:paraId="00000069">
      <w:pPr>
        <w:spacing w:after="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Carmen Elena Tănase</w:t>
      </w:r>
      <w:r w:rsidDel="00000000" w:rsidR="00000000" w:rsidRPr="00000000">
        <w:rPr>
          <w:rtl w:val="0"/>
        </w:rPr>
      </w:r>
    </w:p>
    <w:sectPr>
      <w:footerReference r:id="rId8" w:type="default"/>
      <w:pgSz w:h="16838" w:w="11906" w:orient="portrait"/>
      <w:pgMar w:bottom="1135" w:top="709" w:left="1134" w:right="1133"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160" w:before="0" w:line="259"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Pagină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din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lowerLetter"/>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
    <w:lvl w:ilvl="0">
      <w:start w:val="0"/>
      <w:numFmt w:val="lowerLetter"/>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
    <w:lvl w:ilvl="0">
      <w:start w:val="0"/>
      <w:numFmt w:val="lowerLetter"/>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
    <w:lvl w:ilvl="0">
      <w:start w:val="0"/>
      <w:numFmt w:val="lowerLetter"/>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
    <w:lvl w:ilvl="0">
      <w:start w:val="0"/>
      <w:numFmt w:val="lowerLetter"/>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8">
    <w:lvl w:ilvl="0">
      <w:start w:val="0"/>
      <w:numFmt w:val="lowerLetter"/>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o-R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ro-RO"/>
    </w:rPr>
  </w:style>
  <w:style w:type="character" w:styleId="Fontdeparagrafimplicit">
    <w:name w:val="Font de paragraf implicit"/>
    <w:next w:val="Fontdeparagrafimplicit"/>
    <w:autoRedefine w:val="0"/>
    <w:hidden w:val="0"/>
    <w:qFormat w:val="1"/>
    <w:rPr>
      <w:w w:val="100"/>
      <w:position w:val="-1"/>
      <w:effect w:val="none"/>
      <w:vertAlign w:val="baseline"/>
      <w:cs w:val="0"/>
      <w:em w:val="none"/>
      <w:lang/>
    </w:rPr>
  </w:style>
  <w:style w:type="table" w:styleId="TabelNormal">
    <w:name w:val="Tabel Normal"/>
    <w:next w:val="Tabel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FărăListare">
    <w:name w:val="Fără Listare"/>
    <w:next w:val="FărăListare"/>
    <w:autoRedefine w:val="0"/>
    <w:hidden w:val="0"/>
    <w:qFormat w:val="1"/>
    <w:pPr>
      <w:suppressAutoHyphens w:val="1"/>
      <w:spacing w:line="1" w:lineRule="atLeast"/>
      <w:ind w:leftChars="-1" w:rightChars="0" w:firstLineChars="-1"/>
      <w:textDirection w:val="btLr"/>
      <w:textAlignment w:val="top"/>
      <w:outlineLvl w:val="0"/>
    </w:pPr>
  </w:style>
  <w:style w:type="paragraph" w:styleId="Listăparagraf">
    <w:name w:val="Listă paragraf"/>
    <w:basedOn w:val="Normal"/>
    <w:next w:val="Listăparagraf"/>
    <w:autoRedefine w:val="0"/>
    <w:hidden w:val="0"/>
    <w:qFormat w:val="0"/>
    <w:pPr>
      <w:suppressAutoHyphens w:val="1"/>
      <w:spacing w:after="160" w:line="259"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ro-RO"/>
    </w:rPr>
  </w:style>
  <w:style w:type="paragraph" w:styleId="Antet">
    <w:name w:val="Antet"/>
    <w:basedOn w:val="Normal"/>
    <w:next w:val="Antet"/>
    <w:autoRedefine w:val="0"/>
    <w:hidden w:val="0"/>
    <w:qFormat w:val="1"/>
    <w:pPr>
      <w:tabs>
        <w:tab w:val="center" w:leader="none" w:pos="4536"/>
        <w:tab w:val="right" w:leader="none" w:pos="9072"/>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und"/>
    </w:rPr>
  </w:style>
  <w:style w:type="character" w:styleId="AntetCaracter">
    <w:name w:val="Antet Caracter"/>
    <w:next w:val="AntetCaracter"/>
    <w:autoRedefine w:val="0"/>
    <w:hidden w:val="0"/>
    <w:qFormat w:val="0"/>
    <w:rPr>
      <w:w w:val="100"/>
      <w:position w:val="-1"/>
      <w:sz w:val="22"/>
      <w:szCs w:val="22"/>
      <w:effect w:val="none"/>
      <w:vertAlign w:val="baseline"/>
      <w:cs w:val="0"/>
      <w:em w:val="none"/>
      <w:lang w:eastAsia="en-US"/>
    </w:rPr>
  </w:style>
  <w:style w:type="paragraph" w:styleId="Subsol">
    <w:name w:val="Subsol"/>
    <w:basedOn w:val="Normal"/>
    <w:next w:val="Subsol"/>
    <w:autoRedefine w:val="0"/>
    <w:hidden w:val="0"/>
    <w:qFormat w:val="1"/>
    <w:pPr>
      <w:tabs>
        <w:tab w:val="center" w:leader="none" w:pos="4536"/>
        <w:tab w:val="right" w:leader="none" w:pos="9072"/>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und"/>
    </w:rPr>
  </w:style>
  <w:style w:type="character" w:styleId="SubsolCaracter">
    <w:name w:val="Subsol Caracter"/>
    <w:next w:val="SubsolCaracter"/>
    <w:autoRedefine w:val="0"/>
    <w:hidden w:val="0"/>
    <w:qFormat w:val="0"/>
    <w:rPr>
      <w:w w:val="100"/>
      <w:position w:val="-1"/>
      <w:sz w:val="22"/>
      <w:szCs w:val="22"/>
      <w:effect w:val="none"/>
      <w:vertAlign w:val="baseline"/>
      <w:cs w:val="0"/>
      <w:em w:val="none"/>
      <w:lang w:eastAsia="en-US"/>
    </w:rPr>
  </w:style>
  <w:style w:type="paragraph" w:styleId="TextînBalon">
    <w:name w:val="Text în Balon"/>
    <w:basedOn w:val="Normal"/>
    <w:next w:val="TextînBalon"/>
    <w:autoRedefine w:val="0"/>
    <w:hidden w:val="0"/>
    <w:qFormat w:val="1"/>
    <w:pPr>
      <w:suppressAutoHyphens w:val="1"/>
      <w:spacing w:after="0" w:line="240" w:lineRule="auto"/>
      <w:ind w:leftChars="-1" w:rightChars="0" w:firstLineChars="-1"/>
      <w:textDirection w:val="btLr"/>
      <w:textAlignment w:val="top"/>
      <w:outlineLvl w:val="0"/>
    </w:pPr>
    <w:rPr>
      <w:rFonts w:ascii="Tahoma" w:hAnsi="Tahoma"/>
      <w:w w:val="100"/>
      <w:position w:val="-1"/>
      <w:sz w:val="16"/>
      <w:szCs w:val="16"/>
      <w:effect w:val="none"/>
      <w:vertAlign w:val="baseline"/>
      <w:cs w:val="0"/>
      <w:em w:val="none"/>
      <w:lang w:bidi="ar-SA" w:eastAsia="en-US" w:val="und"/>
    </w:rPr>
  </w:style>
  <w:style w:type="character" w:styleId="TextînBalonCaracter">
    <w:name w:val="Text în Balon Caracter"/>
    <w:next w:val="TextînBalonCaracter"/>
    <w:autoRedefine w:val="0"/>
    <w:hidden w:val="0"/>
    <w:qFormat w:val="0"/>
    <w:rPr>
      <w:rFonts w:ascii="Tahoma" w:cs="Tahoma" w:hAnsi="Tahoma"/>
      <w:w w:val="100"/>
      <w:position w:val="-1"/>
      <w:sz w:val="16"/>
      <w:szCs w:val="16"/>
      <w:effect w:val="none"/>
      <w:vertAlign w:val="baseline"/>
      <w:cs w:val="0"/>
      <w:em w:val="none"/>
      <w:lang w:eastAsia="en-US"/>
    </w:rPr>
  </w:style>
  <w:style w:type="paragraph" w:styleId="Fărăspațiere">
    <w:name w:val="Fără spațiere"/>
    <w:next w:val="Fărăspațiere"/>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ro-RO"/>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Normal(Web)">
    <w:name w:val="Normal (Web)"/>
    <w:basedOn w:val="Normal"/>
    <w:next w:val="Normal(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ro-RO" w:val="ro-RO"/>
    </w:rPr>
  </w:style>
  <w:style w:type="character" w:styleId="apple-tab-span">
    <w:name w:val="apple-tab-span"/>
    <w:basedOn w:val="Fontdeparagrafimplicit"/>
    <w:next w:val="apple-tab-span"/>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mmuncii.ro/j33/index.php/ro/2014-domenii/familie/politici-familiale-incluziune-si-asistenta-sociala/4848"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mwYHkHRGCJBoA0F0aUwtQkzqg==">CgMxLjA4AHIhMTJYNW5XUkVOZVBWUzVhWm5PMTFEeWM3bEhxVWFTSG1o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2023-10-05T09:35:00Z</dcterms:created>
  <dc:creator>Cristinel</dc:creator>
</cp:coreProperties>
</file>

<file path=docProps/custom.xml><?xml version="1.0" encoding="utf-8"?>
<Properties xmlns="http://schemas.openxmlformats.org/officeDocument/2006/custom-properties" xmlns:vt="http://schemas.openxmlformats.org/officeDocument/2006/docPropsVTypes"/>
</file>