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98" w:rsidRPr="00042AB8" w:rsidRDefault="0029678D">
      <w:pPr>
        <w:pStyle w:val="normal0"/>
        <w:spacing w:after="0" w:line="276" w:lineRule="auto"/>
        <w:ind w:right="142"/>
        <w:rPr>
          <w:rFonts w:ascii="Arial" w:eastAsia="Arial" w:hAnsi="Arial" w:cs="Arial"/>
          <w:sz w:val="18"/>
          <w:szCs w:val="18"/>
        </w:rPr>
      </w:pPr>
      <w:r w:rsidRPr="00042AB8">
        <w:rPr>
          <w:rFonts w:ascii="Arial" w:eastAsia="Arial" w:hAnsi="Arial" w:cs="Arial"/>
          <w:sz w:val="18"/>
          <w:szCs w:val="18"/>
        </w:rPr>
        <w:t>IES-GEN Nr. 27 / 22.07.2021</w:t>
      </w:r>
    </w:p>
    <w:p w:rsidR="00855B98" w:rsidRPr="00042AB8" w:rsidRDefault="00855B98">
      <w:pPr>
        <w:pStyle w:val="normal0"/>
        <w:spacing w:after="0" w:line="276" w:lineRule="auto"/>
        <w:ind w:right="142"/>
        <w:rPr>
          <w:rFonts w:ascii="Arial" w:eastAsia="Arial" w:hAnsi="Arial" w:cs="Arial"/>
          <w:sz w:val="18"/>
          <w:szCs w:val="18"/>
        </w:rPr>
      </w:pPr>
    </w:p>
    <w:p w:rsidR="00855B98" w:rsidRPr="00042AB8" w:rsidRDefault="00855B98">
      <w:pPr>
        <w:pStyle w:val="normal0"/>
        <w:spacing w:after="0" w:line="276" w:lineRule="auto"/>
        <w:ind w:right="142"/>
        <w:rPr>
          <w:rFonts w:ascii="Arial" w:eastAsia="Arial" w:hAnsi="Arial" w:cs="Arial"/>
          <w:b/>
          <w:sz w:val="18"/>
          <w:szCs w:val="18"/>
        </w:rPr>
      </w:pPr>
      <w:r w:rsidRPr="00042AB8">
        <w:rPr>
          <w:rFonts w:ascii="Arial" w:hAnsi="Arial" w:cs="Arial"/>
        </w:rPr>
        <w:pict>
          <v:rect id="_x0000_i1025" style="width:0;height:1.5pt" o:hralign="center" o:hrstd="t" o:hr="t" fillcolor="#a0a0a0" stroked="f"/>
        </w:pict>
      </w:r>
    </w:p>
    <w:p w:rsidR="00855B98" w:rsidRPr="00042AB8" w:rsidRDefault="0029678D">
      <w:pPr>
        <w:pStyle w:val="normal0"/>
        <w:spacing w:after="0" w:line="360" w:lineRule="auto"/>
        <w:ind w:right="142"/>
        <w:rPr>
          <w:rFonts w:ascii="Arial" w:eastAsia="Arial" w:hAnsi="Arial" w:cs="Arial"/>
          <w:b/>
          <w:sz w:val="36"/>
          <w:szCs w:val="36"/>
        </w:rPr>
      </w:pPr>
      <w:r w:rsidRPr="00042AB8">
        <w:rPr>
          <w:rFonts w:ascii="Arial" w:eastAsia="Arial" w:hAnsi="Arial" w:cs="Arial"/>
          <w:b/>
          <w:sz w:val="36"/>
          <w:szCs w:val="36"/>
        </w:rPr>
        <w:t xml:space="preserve">Raport de specialitate </w:t>
      </w:r>
    </w:p>
    <w:p w:rsidR="00855B98" w:rsidRPr="00042AB8" w:rsidRDefault="0029678D">
      <w:pPr>
        <w:pStyle w:val="normal0"/>
        <w:spacing w:after="0" w:line="276" w:lineRule="auto"/>
        <w:rPr>
          <w:rFonts w:ascii="Arial" w:eastAsia="Arial" w:hAnsi="Arial" w:cs="Arial"/>
          <w:sz w:val="26"/>
          <w:szCs w:val="26"/>
        </w:rPr>
      </w:pPr>
      <w:r w:rsidRPr="00042AB8">
        <w:rPr>
          <w:rFonts w:ascii="Arial" w:eastAsia="Arial" w:hAnsi="Arial" w:cs="Arial"/>
          <w:color w:val="212529"/>
        </w:rPr>
        <w:t>privind modificarea și aprobarea Hotărârii Consiliului Local al Municipiului Timișoara nr. 84/2021 privind modificarea Hotărârii Consiliului Local al Municipiului Timișoara nr. 270/2020 privind înființarea, organizarea și funcționarea Centrului de Proiecte</w:t>
      </w:r>
      <w:r w:rsidRPr="00042AB8">
        <w:rPr>
          <w:rFonts w:ascii="Arial" w:eastAsia="Arial" w:hAnsi="Arial" w:cs="Arial"/>
          <w:color w:val="212529"/>
        </w:rPr>
        <w:t xml:space="preserve"> Culturale și Administrare a Moștenirii Capitalei Culturale Europene al Municipiului Timișoara</w:t>
      </w:r>
    </w:p>
    <w:p w:rsidR="00855B98" w:rsidRPr="00042AB8" w:rsidRDefault="00855B98">
      <w:pPr>
        <w:pStyle w:val="normal0"/>
        <w:spacing w:after="200" w:line="276" w:lineRule="auto"/>
        <w:rPr>
          <w:rFonts w:ascii="Arial" w:eastAsia="Arial" w:hAnsi="Arial" w:cs="Arial"/>
          <w:b/>
          <w:sz w:val="24"/>
          <w:szCs w:val="24"/>
        </w:rPr>
      </w:pPr>
    </w:p>
    <w:p w:rsidR="00855B98" w:rsidRPr="00042AB8" w:rsidRDefault="0029678D">
      <w:pPr>
        <w:pStyle w:val="normal0"/>
        <w:spacing w:after="0"/>
        <w:ind w:firstLine="720"/>
        <w:rPr>
          <w:rFonts w:ascii="Arial" w:eastAsia="Arial" w:hAnsi="Arial" w:cs="Arial"/>
          <w:sz w:val="20"/>
          <w:szCs w:val="20"/>
        </w:rPr>
      </w:pPr>
      <w:r w:rsidRPr="00042AB8">
        <w:rPr>
          <w:rFonts w:ascii="Arial" w:eastAsia="Arial" w:hAnsi="Arial" w:cs="Arial"/>
          <w:sz w:val="20"/>
          <w:szCs w:val="20"/>
        </w:rPr>
        <w:t>Centrul de Proiecte al Municipiului Timișoara este un serviciu public de interes local al Municipiului Timișoara, cu personalitate juridică, ce funcționează sub</w:t>
      </w:r>
      <w:r w:rsidRPr="00042AB8">
        <w:rPr>
          <w:rFonts w:ascii="Arial" w:eastAsia="Arial" w:hAnsi="Arial" w:cs="Arial"/>
          <w:sz w:val="20"/>
          <w:szCs w:val="20"/>
        </w:rPr>
        <w:t xml:space="preserve"> autoritatea Consiliului Local al Municipiului Timișoara, fiind finanțat din subvenții de la bugetul local și din venituri proprii, precum și din sponsorizări și donații, în condițiile legii, înfiinţat prin Hotărârea Consiliului Local al Municipiului Timiș</w:t>
      </w:r>
      <w:r w:rsidRPr="00042AB8">
        <w:rPr>
          <w:rFonts w:ascii="Arial" w:eastAsia="Arial" w:hAnsi="Arial" w:cs="Arial"/>
          <w:sz w:val="20"/>
          <w:szCs w:val="20"/>
        </w:rPr>
        <w:t>oara nr. 270/2020.</w:t>
      </w:r>
    </w:p>
    <w:p w:rsidR="00855B98" w:rsidRPr="00042AB8" w:rsidRDefault="00855B98">
      <w:pPr>
        <w:pStyle w:val="normal0"/>
        <w:spacing w:after="0"/>
        <w:rPr>
          <w:rFonts w:ascii="Arial" w:eastAsia="Arial" w:hAnsi="Arial" w:cs="Arial"/>
          <w:sz w:val="20"/>
          <w:szCs w:val="20"/>
        </w:rPr>
      </w:pPr>
    </w:p>
    <w:p w:rsidR="00855B98" w:rsidRPr="00042AB8" w:rsidRDefault="0029678D">
      <w:pPr>
        <w:pStyle w:val="normal0"/>
        <w:spacing w:after="0"/>
        <w:ind w:firstLine="720"/>
        <w:rPr>
          <w:rFonts w:ascii="Arial" w:eastAsia="Arial" w:hAnsi="Arial" w:cs="Arial"/>
          <w:sz w:val="20"/>
          <w:szCs w:val="20"/>
        </w:rPr>
      </w:pPr>
      <w:r w:rsidRPr="00042AB8">
        <w:rPr>
          <w:rFonts w:ascii="Arial" w:eastAsia="Arial" w:hAnsi="Arial" w:cs="Arial"/>
          <w:sz w:val="20"/>
          <w:szCs w:val="20"/>
        </w:rPr>
        <w:t>În prezent, Regulamentul de organizare și funcționare, Organigrama, Statul de funcții, și Nivelul salariilor de bază  ale Centrului de Proiecte al Municipiului Timișoara sunt aprobate prin Hotărârea Consiliului Local nr. 84/2021.</w:t>
      </w:r>
    </w:p>
    <w:p w:rsidR="00855B98" w:rsidRPr="00042AB8" w:rsidRDefault="00855B98">
      <w:pPr>
        <w:pStyle w:val="normal0"/>
        <w:spacing w:after="0"/>
        <w:ind w:firstLine="720"/>
        <w:rPr>
          <w:rFonts w:ascii="Arial" w:eastAsia="Arial" w:hAnsi="Arial" w:cs="Arial"/>
          <w:sz w:val="20"/>
          <w:szCs w:val="20"/>
        </w:rPr>
      </w:pPr>
    </w:p>
    <w:p w:rsidR="00855B98" w:rsidRPr="00042AB8" w:rsidRDefault="0029678D">
      <w:pPr>
        <w:pStyle w:val="normal0"/>
        <w:spacing w:after="0"/>
        <w:ind w:firstLine="708"/>
        <w:rPr>
          <w:rFonts w:ascii="Arial" w:eastAsia="Arial" w:hAnsi="Arial" w:cs="Arial"/>
          <w:sz w:val="20"/>
          <w:szCs w:val="20"/>
        </w:rPr>
      </w:pPr>
      <w:r w:rsidRPr="00042AB8">
        <w:rPr>
          <w:rFonts w:ascii="Arial" w:eastAsia="Arial" w:hAnsi="Arial" w:cs="Arial"/>
          <w:sz w:val="20"/>
          <w:szCs w:val="20"/>
        </w:rPr>
        <w:t>Confo</w:t>
      </w:r>
      <w:r w:rsidRPr="00042AB8">
        <w:rPr>
          <w:rFonts w:ascii="Arial" w:eastAsia="Arial" w:hAnsi="Arial" w:cs="Arial"/>
          <w:sz w:val="20"/>
          <w:szCs w:val="20"/>
        </w:rPr>
        <w:t xml:space="preserve">rm ultimei organigrame aprobate, în structura organizatorică a instituției funcționează două compartimente, respectiv </w:t>
      </w:r>
      <w:r w:rsidRPr="00042AB8">
        <w:rPr>
          <w:rFonts w:ascii="Arial" w:eastAsia="Arial" w:hAnsi="Arial" w:cs="Arial"/>
          <w:i/>
          <w:sz w:val="20"/>
          <w:szCs w:val="20"/>
        </w:rPr>
        <w:t>Compartimentul programe, proiecte și relații publice</w:t>
      </w:r>
      <w:r w:rsidRPr="00042AB8">
        <w:rPr>
          <w:rFonts w:ascii="Arial" w:eastAsia="Arial" w:hAnsi="Arial" w:cs="Arial"/>
          <w:sz w:val="20"/>
          <w:szCs w:val="20"/>
        </w:rPr>
        <w:t xml:space="preserve"> și </w:t>
      </w:r>
      <w:r w:rsidRPr="00042AB8">
        <w:rPr>
          <w:rFonts w:ascii="Arial" w:eastAsia="Arial" w:hAnsi="Arial" w:cs="Arial"/>
          <w:i/>
          <w:sz w:val="20"/>
          <w:szCs w:val="20"/>
        </w:rPr>
        <w:t>Compartimentul financiar-contabil și juridic</w:t>
      </w:r>
      <w:r w:rsidRPr="00042AB8">
        <w:rPr>
          <w:rFonts w:ascii="Arial" w:eastAsia="Arial" w:hAnsi="Arial" w:cs="Arial"/>
          <w:sz w:val="20"/>
          <w:szCs w:val="20"/>
        </w:rPr>
        <w:t>.</w:t>
      </w:r>
    </w:p>
    <w:p w:rsidR="00855B98" w:rsidRPr="00042AB8" w:rsidRDefault="00855B98">
      <w:pPr>
        <w:pStyle w:val="normal0"/>
        <w:spacing w:after="0"/>
        <w:ind w:firstLine="708"/>
        <w:rPr>
          <w:rFonts w:ascii="Arial" w:eastAsia="Arial" w:hAnsi="Arial" w:cs="Arial"/>
          <w:sz w:val="20"/>
          <w:szCs w:val="20"/>
        </w:rPr>
      </w:pPr>
    </w:p>
    <w:p w:rsidR="00855B98" w:rsidRPr="00042AB8" w:rsidRDefault="0029678D">
      <w:pPr>
        <w:pStyle w:val="normal0"/>
        <w:spacing w:after="0"/>
        <w:rPr>
          <w:rFonts w:ascii="Arial" w:eastAsia="Arial" w:hAnsi="Arial" w:cs="Arial"/>
          <w:sz w:val="20"/>
          <w:szCs w:val="20"/>
        </w:rPr>
      </w:pPr>
      <w:bookmarkStart w:id="0" w:name="_xz1i0vo0iola" w:colFirst="0" w:colLast="0"/>
      <w:bookmarkEnd w:id="0"/>
      <w:r w:rsidRPr="00042AB8">
        <w:rPr>
          <w:rFonts w:ascii="Arial" w:eastAsia="Arial" w:hAnsi="Arial" w:cs="Arial"/>
          <w:sz w:val="20"/>
          <w:szCs w:val="20"/>
        </w:rPr>
        <w:tab/>
      </w:r>
      <w:r w:rsidRPr="00042AB8">
        <w:rPr>
          <w:rFonts w:ascii="Arial" w:eastAsia="Arial" w:hAnsi="Arial" w:cs="Arial"/>
          <w:sz w:val="20"/>
          <w:szCs w:val="20"/>
        </w:rPr>
        <w:t>Având în vedere necesitatea preluării de către Centrul de Proiecte a funcției de administrare de spații și alte resurse logistice, inclusiv dezvoltare prin metode participative a conceptelor de funcționalizare a spațiilor culturale, sociale și educative di</w:t>
      </w:r>
      <w:r w:rsidRPr="00042AB8">
        <w:rPr>
          <w:rFonts w:ascii="Arial" w:eastAsia="Arial" w:hAnsi="Arial" w:cs="Arial"/>
          <w:sz w:val="20"/>
          <w:szCs w:val="20"/>
        </w:rPr>
        <w:t>n oraș,</w:t>
      </w:r>
    </w:p>
    <w:p w:rsidR="00855B98" w:rsidRPr="00042AB8" w:rsidRDefault="0029678D">
      <w:pPr>
        <w:pStyle w:val="normal0"/>
        <w:spacing w:after="0"/>
        <w:rPr>
          <w:rFonts w:ascii="Arial" w:eastAsia="Arial" w:hAnsi="Arial" w:cs="Arial"/>
          <w:sz w:val="20"/>
          <w:szCs w:val="20"/>
        </w:rPr>
      </w:pPr>
      <w:bookmarkStart w:id="1" w:name="_73au5jh2p30o" w:colFirst="0" w:colLast="0"/>
      <w:bookmarkEnd w:id="1"/>
      <w:r w:rsidRPr="00042AB8">
        <w:rPr>
          <w:rFonts w:ascii="Arial" w:eastAsia="Arial" w:hAnsi="Arial" w:cs="Arial"/>
          <w:sz w:val="20"/>
          <w:szCs w:val="20"/>
        </w:rPr>
        <w:tab/>
      </w:r>
    </w:p>
    <w:p w:rsidR="00855B98" w:rsidRPr="00042AB8" w:rsidRDefault="0029678D">
      <w:pPr>
        <w:pStyle w:val="normal0"/>
        <w:spacing w:after="0"/>
        <w:ind w:firstLine="720"/>
        <w:rPr>
          <w:rFonts w:ascii="Arial" w:eastAsia="Arial" w:hAnsi="Arial" w:cs="Arial"/>
          <w:sz w:val="20"/>
          <w:szCs w:val="20"/>
        </w:rPr>
      </w:pPr>
      <w:bookmarkStart w:id="2" w:name="_vghmnvst4zh0" w:colFirst="0" w:colLast="0"/>
      <w:bookmarkEnd w:id="2"/>
      <w:r w:rsidRPr="00042AB8">
        <w:rPr>
          <w:rFonts w:ascii="Arial" w:eastAsia="Arial" w:hAnsi="Arial" w:cs="Arial"/>
          <w:sz w:val="20"/>
          <w:szCs w:val="20"/>
        </w:rPr>
        <w:t>Având în vedere necesitatea creșterii capacității Centrului de Proiecte de a oferi asistență și sprijin în scrierea de proiecte, curatoriat, dezvoltare de parteneriate intersectoriale și scalarea impactului,</w:t>
      </w:r>
    </w:p>
    <w:p w:rsidR="00855B98" w:rsidRPr="00042AB8" w:rsidRDefault="00855B98">
      <w:pPr>
        <w:pStyle w:val="normal0"/>
        <w:spacing w:after="0"/>
        <w:ind w:firstLine="720"/>
        <w:rPr>
          <w:rFonts w:ascii="Arial" w:eastAsia="Arial" w:hAnsi="Arial" w:cs="Arial"/>
          <w:sz w:val="20"/>
          <w:szCs w:val="20"/>
        </w:rPr>
      </w:pPr>
      <w:bookmarkStart w:id="3" w:name="_nv1qdx6un0ed" w:colFirst="0" w:colLast="0"/>
      <w:bookmarkEnd w:id="3"/>
    </w:p>
    <w:p w:rsidR="00855B98" w:rsidRPr="00042AB8" w:rsidRDefault="0029678D">
      <w:pPr>
        <w:pStyle w:val="normal0"/>
        <w:spacing w:after="0"/>
        <w:rPr>
          <w:rFonts w:ascii="Arial" w:eastAsia="Arial" w:hAnsi="Arial" w:cs="Arial"/>
          <w:sz w:val="20"/>
          <w:szCs w:val="20"/>
        </w:rPr>
      </w:pPr>
      <w:bookmarkStart w:id="4" w:name="_j58bc29dc5ep" w:colFirst="0" w:colLast="0"/>
      <w:bookmarkEnd w:id="4"/>
      <w:r w:rsidRPr="00042AB8">
        <w:rPr>
          <w:rFonts w:ascii="Arial" w:eastAsia="Arial" w:hAnsi="Arial" w:cs="Arial"/>
          <w:sz w:val="20"/>
          <w:szCs w:val="20"/>
        </w:rPr>
        <w:tab/>
        <w:t xml:space="preserve">Luând în considerare dezvoltarea pe </w:t>
      </w:r>
      <w:r w:rsidRPr="00042AB8">
        <w:rPr>
          <w:rFonts w:ascii="Arial" w:eastAsia="Arial" w:hAnsi="Arial" w:cs="Arial"/>
          <w:sz w:val="20"/>
          <w:szCs w:val="20"/>
        </w:rPr>
        <w:t>mai multe dimensiuni a funcției de monitorizare, evaluare și analiză de impact a proiectelor și programelor finanțate,</w:t>
      </w:r>
    </w:p>
    <w:p w:rsidR="00855B98" w:rsidRPr="00042AB8" w:rsidRDefault="00855B98">
      <w:pPr>
        <w:pStyle w:val="normal0"/>
        <w:spacing w:after="0"/>
        <w:rPr>
          <w:rFonts w:ascii="Arial" w:eastAsia="Arial" w:hAnsi="Arial" w:cs="Arial"/>
          <w:sz w:val="20"/>
          <w:szCs w:val="20"/>
        </w:rPr>
      </w:pPr>
      <w:bookmarkStart w:id="5" w:name="_h06awetr3jz2" w:colFirst="0" w:colLast="0"/>
      <w:bookmarkEnd w:id="5"/>
    </w:p>
    <w:p w:rsidR="00855B98" w:rsidRPr="00042AB8" w:rsidRDefault="0029678D">
      <w:pPr>
        <w:pStyle w:val="normal0"/>
        <w:spacing w:after="0"/>
        <w:rPr>
          <w:rFonts w:ascii="Arial" w:eastAsia="Arial" w:hAnsi="Arial" w:cs="Arial"/>
          <w:sz w:val="20"/>
          <w:szCs w:val="20"/>
        </w:rPr>
      </w:pPr>
      <w:bookmarkStart w:id="6" w:name="_m9z2zyikpleu" w:colFirst="0" w:colLast="0"/>
      <w:bookmarkEnd w:id="6"/>
      <w:r w:rsidRPr="00042AB8">
        <w:rPr>
          <w:rFonts w:ascii="Arial" w:eastAsia="Arial" w:hAnsi="Arial" w:cs="Arial"/>
          <w:sz w:val="20"/>
          <w:szCs w:val="20"/>
        </w:rPr>
        <w:tab/>
        <w:t>Având în vedere necesitatea dezvoltării website-ului Centrului de Proiecte al Municipiului Timișoara și a platformei digitale a orașulu</w:t>
      </w:r>
      <w:r w:rsidRPr="00042AB8">
        <w:rPr>
          <w:rFonts w:ascii="Arial" w:eastAsia="Arial" w:hAnsi="Arial" w:cs="Arial"/>
          <w:sz w:val="20"/>
          <w:szCs w:val="20"/>
        </w:rPr>
        <w:t>i privind evenimentele, calendarul acestora, infrastructura culturală și alte resurse,</w:t>
      </w:r>
    </w:p>
    <w:p w:rsidR="00855B98" w:rsidRPr="00042AB8" w:rsidRDefault="00855B98">
      <w:pPr>
        <w:pStyle w:val="normal0"/>
        <w:spacing w:after="0"/>
        <w:rPr>
          <w:rFonts w:ascii="Arial" w:eastAsia="Arial" w:hAnsi="Arial" w:cs="Arial"/>
          <w:sz w:val="20"/>
          <w:szCs w:val="20"/>
        </w:rPr>
      </w:pPr>
      <w:bookmarkStart w:id="7" w:name="_4c0vh9xrzrfs" w:colFirst="0" w:colLast="0"/>
      <w:bookmarkEnd w:id="7"/>
    </w:p>
    <w:p w:rsidR="00855B98" w:rsidRPr="00042AB8" w:rsidRDefault="0029678D">
      <w:pPr>
        <w:pStyle w:val="normal0"/>
        <w:spacing w:after="0"/>
        <w:ind w:firstLine="708"/>
        <w:rPr>
          <w:rFonts w:ascii="Arial" w:eastAsia="Arial" w:hAnsi="Arial" w:cs="Arial"/>
          <w:sz w:val="20"/>
          <w:szCs w:val="20"/>
        </w:rPr>
      </w:pPr>
      <w:r w:rsidRPr="00042AB8">
        <w:rPr>
          <w:rFonts w:ascii="Arial" w:eastAsia="Arial" w:hAnsi="Arial" w:cs="Arial"/>
          <w:sz w:val="20"/>
          <w:szCs w:val="20"/>
        </w:rPr>
        <w:t>Având în vedere că numărul mare de oferte înscrise la primele 3 apeluri de finanțare, precum și perspectiva apelurilor de finanțare care urmează a se lansa în domeniile</w:t>
      </w:r>
      <w:r w:rsidRPr="00042AB8">
        <w:rPr>
          <w:rFonts w:ascii="Arial" w:eastAsia="Arial" w:hAnsi="Arial" w:cs="Arial"/>
          <w:sz w:val="20"/>
          <w:szCs w:val="20"/>
        </w:rPr>
        <w:t xml:space="preserve"> tineret și sport necesită asigurarea unei minuțioase gestionări a acestei activități,</w:t>
      </w:r>
    </w:p>
    <w:p w:rsidR="00855B98" w:rsidRPr="00042AB8" w:rsidRDefault="00855B98">
      <w:pPr>
        <w:pStyle w:val="normal0"/>
        <w:spacing w:after="0"/>
        <w:ind w:firstLine="708"/>
        <w:rPr>
          <w:rFonts w:ascii="Arial" w:eastAsia="Arial" w:hAnsi="Arial" w:cs="Arial"/>
          <w:sz w:val="20"/>
          <w:szCs w:val="20"/>
        </w:rPr>
      </w:pPr>
    </w:p>
    <w:p w:rsidR="00855B98" w:rsidRPr="00042AB8" w:rsidRDefault="0029678D">
      <w:pPr>
        <w:pStyle w:val="normal0"/>
        <w:spacing w:after="0"/>
        <w:ind w:firstLine="708"/>
        <w:rPr>
          <w:rFonts w:ascii="Arial" w:eastAsia="Arial" w:hAnsi="Arial" w:cs="Arial"/>
          <w:sz w:val="20"/>
          <w:szCs w:val="20"/>
        </w:rPr>
      </w:pPr>
      <w:r w:rsidRPr="00042AB8">
        <w:rPr>
          <w:rFonts w:ascii="Arial" w:eastAsia="Arial" w:hAnsi="Arial" w:cs="Arial"/>
          <w:sz w:val="20"/>
          <w:szCs w:val="20"/>
        </w:rPr>
        <w:t>Având în vedere art. 3 alin. 2 din O.U.G. nr. 63/2010 potrivit căruia serviciilor publice de interes local sau județean, specializate, cu personalitate juridică, înfiin</w:t>
      </w:r>
      <w:r w:rsidRPr="00042AB8">
        <w:rPr>
          <w:rFonts w:ascii="Arial" w:eastAsia="Arial" w:hAnsi="Arial" w:cs="Arial"/>
          <w:sz w:val="20"/>
          <w:szCs w:val="20"/>
        </w:rPr>
        <w:t>ț</w:t>
      </w:r>
      <w:r w:rsidRPr="00042AB8">
        <w:rPr>
          <w:rFonts w:ascii="Arial" w:eastAsia="Arial" w:hAnsi="Arial" w:cs="Arial"/>
          <w:sz w:val="20"/>
          <w:szCs w:val="20"/>
        </w:rPr>
        <w:t>ate și organizate în subordinea consiliilor locale sau consiliilor județene, după caz, prin hotărâri ale autorităților deliberative ale unităților administrativ-teritoriale respective nu li se aplică prevederile art. 3 alin. 1 din aceeași O.U.G. privind e</w:t>
      </w:r>
      <w:r w:rsidRPr="00042AB8">
        <w:rPr>
          <w:rFonts w:ascii="Arial" w:eastAsia="Arial" w:hAnsi="Arial" w:cs="Arial"/>
          <w:sz w:val="20"/>
          <w:szCs w:val="20"/>
        </w:rPr>
        <w:t>laborarea organigramei și statului de funcții cu încadrarea într-un număr maxim de posturi,</w:t>
      </w:r>
    </w:p>
    <w:p w:rsidR="00855B98" w:rsidRPr="00042AB8" w:rsidRDefault="00855B98">
      <w:pPr>
        <w:pStyle w:val="normal0"/>
        <w:spacing w:after="0"/>
        <w:ind w:firstLine="708"/>
        <w:rPr>
          <w:rFonts w:ascii="Arial" w:eastAsia="Arial" w:hAnsi="Arial" w:cs="Arial"/>
          <w:sz w:val="20"/>
          <w:szCs w:val="20"/>
        </w:rPr>
      </w:pPr>
    </w:p>
    <w:p w:rsidR="00855B98" w:rsidRPr="00042AB8" w:rsidRDefault="0029678D">
      <w:pPr>
        <w:pStyle w:val="normal0"/>
        <w:spacing w:after="0"/>
        <w:ind w:firstLine="720"/>
        <w:rPr>
          <w:rFonts w:ascii="Arial" w:eastAsia="Arial" w:hAnsi="Arial" w:cs="Arial"/>
          <w:sz w:val="20"/>
          <w:szCs w:val="20"/>
        </w:rPr>
      </w:pPr>
      <w:r w:rsidRPr="00042AB8">
        <w:rPr>
          <w:rFonts w:ascii="Arial" w:eastAsia="Arial" w:hAnsi="Arial" w:cs="Arial"/>
          <w:sz w:val="20"/>
          <w:szCs w:val="20"/>
        </w:rPr>
        <w:lastRenderedPageBreak/>
        <w:t>Având în vedere cele menționate și pentru o mai bună planificare și eficientizare a activității în contextul actual,  propunem suplimentarea numărului de posturi aprobate, cu următoarele posturi de execuție:</w:t>
      </w:r>
    </w:p>
    <w:p w:rsidR="00855B98" w:rsidRPr="00042AB8" w:rsidRDefault="0029678D">
      <w:pPr>
        <w:pStyle w:val="normal0"/>
        <w:numPr>
          <w:ilvl w:val="0"/>
          <w:numId w:val="1"/>
        </w:numPr>
        <w:spacing w:after="0"/>
        <w:rPr>
          <w:rFonts w:ascii="Arial" w:eastAsia="Arial" w:hAnsi="Arial" w:cs="Arial"/>
          <w:sz w:val="20"/>
          <w:szCs w:val="20"/>
        </w:rPr>
      </w:pPr>
      <w:r w:rsidRPr="00042AB8">
        <w:rPr>
          <w:rFonts w:ascii="Arial" w:eastAsia="Arial" w:hAnsi="Arial" w:cs="Arial"/>
          <w:sz w:val="20"/>
          <w:szCs w:val="20"/>
        </w:rPr>
        <w:t xml:space="preserve">la Compartimentul programe, proiecte și relații </w:t>
      </w:r>
      <w:r w:rsidRPr="00042AB8">
        <w:rPr>
          <w:rFonts w:ascii="Arial" w:eastAsia="Arial" w:hAnsi="Arial" w:cs="Arial"/>
          <w:sz w:val="20"/>
          <w:szCs w:val="20"/>
        </w:rPr>
        <w:t>publice se suplimentează cu:</w:t>
      </w:r>
    </w:p>
    <w:p w:rsidR="00855B98" w:rsidRPr="00042AB8" w:rsidRDefault="0029678D">
      <w:pPr>
        <w:pStyle w:val="normal0"/>
        <w:numPr>
          <w:ilvl w:val="0"/>
          <w:numId w:val="2"/>
        </w:numPr>
        <w:spacing w:after="0"/>
        <w:rPr>
          <w:rFonts w:ascii="Arial" w:eastAsia="Arial" w:hAnsi="Arial" w:cs="Arial"/>
          <w:sz w:val="20"/>
          <w:szCs w:val="20"/>
        </w:rPr>
      </w:pPr>
      <w:r w:rsidRPr="00042AB8">
        <w:rPr>
          <w:rFonts w:ascii="Arial" w:eastAsia="Arial" w:hAnsi="Arial" w:cs="Arial"/>
          <w:sz w:val="20"/>
          <w:szCs w:val="20"/>
        </w:rPr>
        <w:t>1 post Inspector de specialitate grad profesional IA;</w:t>
      </w:r>
    </w:p>
    <w:p w:rsidR="00855B98" w:rsidRPr="00042AB8" w:rsidRDefault="0029678D">
      <w:pPr>
        <w:pStyle w:val="normal0"/>
        <w:numPr>
          <w:ilvl w:val="0"/>
          <w:numId w:val="2"/>
        </w:numPr>
        <w:spacing w:after="0"/>
        <w:rPr>
          <w:rFonts w:ascii="Arial" w:eastAsia="Arial" w:hAnsi="Arial" w:cs="Arial"/>
          <w:sz w:val="20"/>
          <w:szCs w:val="20"/>
        </w:rPr>
      </w:pPr>
      <w:r w:rsidRPr="00042AB8">
        <w:rPr>
          <w:rFonts w:ascii="Arial" w:eastAsia="Arial" w:hAnsi="Arial" w:cs="Arial"/>
          <w:sz w:val="20"/>
          <w:szCs w:val="20"/>
        </w:rPr>
        <w:t>1 post Inspector de specialitate grad profesional I;</w:t>
      </w:r>
    </w:p>
    <w:p w:rsidR="00855B98" w:rsidRPr="00042AB8" w:rsidRDefault="0029678D">
      <w:pPr>
        <w:pStyle w:val="normal0"/>
        <w:numPr>
          <w:ilvl w:val="0"/>
          <w:numId w:val="2"/>
        </w:numPr>
        <w:spacing w:after="0"/>
        <w:rPr>
          <w:rFonts w:ascii="Arial" w:eastAsia="Arial" w:hAnsi="Arial" w:cs="Arial"/>
          <w:sz w:val="20"/>
          <w:szCs w:val="20"/>
        </w:rPr>
      </w:pPr>
      <w:r w:rsidRPr="00042AB8">
        <w:rPr>
          <w:rFonts w:ascii="Arial" w:eastAsia="Arial" w:hAnsi="Arial" w:cs="Arial"/>
          <w:sz w:val="20"/>
          <w:szCs w:val="20"/>
        </w:rPr>
        <w:t>3 posturi de Expert grad profesional II.</w:t>
      </w:r>
    </w:p>
    <w:p w:rsidR="00855B98" w:rsidRPr="00042AB8" w:rsidRDefault="0029678D">
      <w:pPr>
        <w:pStyle w:val="normal0"/>
        <w:numPr>
          <w:ilvl w:val="0"/>
          <w:numId w:val="1"/>
        </w:numPr>
        <w:spacing w:after="0"/>
        <w:rPr>
          <w:rFonts w:ascii="Arial" w:eastAsia="Arial" w:hAnsi="Arial" w:cs="Arial"/>
          <w:sz w:val="20"/>
          <w:szCs w:val="20"/>
        </w:rPr>
      </w:pPr>
      <w:r w:rsidRPr="00042AB8">
        <w:rPr>
          <w:rFonts w:ascii="Arial" w:eastAsia="Arial" w:hAnsi="Arial" w:cs="Arial"/>
          <w:sz w:val="20"/>
          <w:szCs w:val="20"/>
        </w:rPr>
        <w:t>la Compartimentul financiar-contabil și juridic:</w:t>
      </w:r>
    </w:p>
    <w:p w:rsidR="00855B98" w:rsidRPr="00042AB8" w:rsidRDefault="0029678D">
      <w:pPr>
        <w:pStyle w:val="normal0"/>
        <w:numPr>
          <w:ilvl w:val="0"/>
          <w:numId w:val="4"/>
        </w:numPr>
        <w:spacing w:after="0"/>
        <w:rPr>
          <w:rFonts w:ascii="Arial" w:eastAsia="Arial" w:hAnsi="Arial" w:cs="Arial"/>
          <w:sz w:val="20"/>
          <w:szCs w:val="20"/>
        </w:rPr>
      </w:pPr>
      <w:r w:rsidRPr="00042AB8">
        <w:rPr>
          <w:rFonts w:ascii="Arial" w:eastAsia="Arial" w:hAnsi="Arial" w:cs="Arial"/>
          <w:sz w:val="20"/>
          <w:szCs w:val="20"/>
        </w:rPr>
        <w:t>1 post Inspector de specialita</w:t>
      </w:r>
      <w:r w:rsidRPr="00042AB8">
        <w:rPr>
          <w:rFonts w:ascii="Arial" w:eastAsia="Arial" w:hAnsi="Arial" w:cs="Arial"/>
          <w:sz w:val="20"/>
          <w:szCs w:val="20"/>
        </w:rPr>
        <w:t>te grad profesional IA;</w:t>
      </w:r>
    </w:p>
    <w:p w:rsidR="00855B98" w:rsidRPr="00042AB8" w:rsidRDefault="0029678D">
      <w:pPr>
        <w:pStyle w:val="normal0"/>
        <w:numPr>
          <w:ilvl w:val="0"/>
          <w:numId w:val="4"/>
        </w:numPr>
        <w:spacing w:after="0"/>
        <w:rPr>
          <w:rFonts w:ascii="Arial" w:eastAsia="Arial" w:hAnsi="Arial" w:cs="Arial"/>
          <w:sz w:val="20"/>
          <w:szCs w:val="20"/>
        </w:rPr>
      </w:pPr>
      <w:r w:rsidRPr="00042AB8">
        <w:rPr>
          <w:rFonts w:ascii="Arial" w:eastAsia="Arial" w:hAnsi="Arial" w:cs="Arial"/>
          <w:sz w:val="20"/>
          <w:szCs w:val="20"/>
        </w:rPr>
        <w:t>1 post Inspector de specialitate I.</w:t>
      </w:r>
    </w:p>
    <w:p w:rsidR="00855B98" w:rsidRPr="00042AB8" w:rsidRDefault="00855B98">
      <w:pPr>
        <w:pStyle w:val="normal0"/>
        <w:spacing w:after="0"/>
        <w:rPr>
          <w:rFonts w:ascii="Arial" w:eastAsia="Arial" w:hAnsi="Arial" w:cs="Arial"/>
          <w:b/>
          <w:color w:val="FF0000"/>
          <w:sz w:val="20"/>
          <w:szCs w:val="20"/>
        </w:rPr>
      </w:pPr>
    </w:p>
    <w:p w:rsidR="00855B98" w:rsidRPr="00042AB8" w:rsidRDefault="0029678D">
      <w:pPr>
        <w:pStyle w:val="normal0"/>
        <w:spacing w:after="0"/>
        <w:ind w:firstLine="708"/>
        <w:rPr>
          <w:rFonts w:ascii="Arial" w:eastAsia="Arial" w:hAnsi="Arial" w:cs="Arial"/>
          <w:sz w:val="20"/>
          <w:szCs w:val="20"/>
        </w:rPr>
      </w:pPr>
      <w:r w:rsidRPr="00042AB8">
        <w:rPr>
          <w:rFonts w:ascii="Arial" w:eastAsia="Arial" w:hAnsi="Arial" w:cs="Arial"/>
          <w:sz w:val="20"/>
          <w:szCs w:val="20"/>
        </w:rPr>
        <w:t>Menționăm că, cheltuielile aferente acestor propuneri de suplimentare de posturi, se încadrează în prevederile bugetare aprobate în conformitate cu HCL 132/22.04.2021.</w:t>
      </w:r>
    </w:p>
    <w:p w:rsidR="00855B98" w:rsidRPr="00042AB8" w:rsidRDefault="00855B98">
      <w:pPr>
        <w:pStyle w:val="normal0"/>
        <w:spacing w:after="0"/>
        <w:ind w:firstLine="708"/>
        <w:rPr>
          <w:rFonts w:ascii="Arial" w:eastAsia="Arial" w:hAnsi="Arial" w:cs="Arial"/>
          <w:sz w:val="20"/>
          <w:szCs w:val="20"/>
        </w:rPr>
      </w:pPr>
    </w:p>
    <w:p w:rsidR="00855B98" w:rsidRPr="00042AB8" w:rsidRDefault="0029678D">
      <w:pPr>
        <w:pStyle w:val="normal0"/>
        <w:spacing w:after="0"/>
        <w:ind w:firstLine="708"/>
        <w:rPr>
          <w:rFonts w:ascii="Arial" w:eastAsia="Arial" w:hAnsi="Arial" w:cs="Arial"/>
          <w:sz w:val="20"/>
          <w:szCs w:val="20"/>
        </w:rPr>
      </w:pPr>
      <w:r w:rsidRPr="00042AB8">
        <w:rPr>
          <w:rFonts w:ascii="Arial" w:eastAsia="Arial" w:hAnsi="Arial" w:cs="Arial"/>
          <w:sz w:val="20"/>
          <w:szCs w:val="20"/>
        </w:rPr>
        <w:t>Concluzionând, propunem mo</w:t>
      </w:r>
      <w:r w:rsidRPr="00042AB8">
        <w:rPr>
          <w:rFonts w:ascii="Arial" w:eastAsia="Arial" w:hAnsi="Arial" w:cs="Arial"/>
          <w:sz w:val="20"/>
          <w:szCs w:val="20"/>
        </w:rPr>
        <w:t>dificarea HCL 84/16.03.2021 prin schimbarea Organigramei, a Statului de funcții, precum și a Nivelului salariilor de bază, conform anexelor 1-2, parte integrantă din prezentul Raport, respectiv:</w:t>
      </w:r>
    </w:p>
    <w:p w:rsidR="00855B98" w:rsidRPr="00042AB8" w:rsidRDefault="0029678D">
      <w:pPr>
        <w:pStyle w:val="normal0"/>
        <w:numPr>
          <w:ilvl w:val="0"/>
          <w:numId w:val="3"/>
        </w:numPr>
        <w:spacing w:after="0"/>
        <w:rPr>
          <w:rFonts w:ascii="Arial" w:eastAsia="Arial" w:hAnsi="Arial" w:cs="Arial"/>
          <w:sz w:val="20"/>
          <w:szCs w:val="20"/>
        </w:rPr>
      </w:pPr>
      <w:r w:rsidRPr="00042AB8">
        <w:rPr>
          <w:rFonts w:ascii="Arial" w:eastAsia="Arial" w:hAnsi="Arial" w:cs="Arial"/>
          <w:sz w:val="20"/>
          <w:szCs w:val="20"/>
        </w:rPr>
        <w:t>Anexa 1 - Statul de funcții</w:t>
      </w:r>
    </w:p>
    <w:p w:rsidR="00855B98" w:rsidRPr="00042AB8" w:rsidRDefault="0029678D">
      <w:pPr>
        <w:pStyle w:val="normal0"/>
        <w:numPr>
          <w:ilvl w:val="0"/>
          <w:numId w:val="3"/>
        </w:numPr>
        <w:spacing w:after="0"/>
        <w:rPr>
          <w:rFonts w:ascii="Arial" w:eastAsia="Arial" w:hAnsi="Arial" w:cs="Arial"/>
          <w:sz w:val="20"/>
          <w:szCs w:val="20"/>
        </w:rPr>
      </w:pPr>
      <w:r w:rsidRPr="00042AB8">
        <w:rPr>
          <w:rFonts w:ascii="Arial" w:eastAsia="Arial" w:hAnsi="Arial" w:cs="Arial"/>
          <w:sz w:val="20"/>
          <w:szCs w:val="20"/>
        </w:rPr>
        <w:t>Anexa 2 - Nivel salarii de bază</w:t>
      </w:r>
    </w:p>
    <w:p w:rsidR="00855B98" w:rsidRPr="00042AB8" w:rsidRDefault="00855B98">
      <w:pPr>
        <w:pStyle w:val="normal0"/>
        <w:spacing w:after="0"/>
        <w:ind w:firstLine="708"/>
        <w:rPr>
          <w:rFonts w:ascii="Arial" w:eastAsia="Arial" w:hAnsi="Arial" w:cs="Arial"/>
          <w:sz w:val="20"/>
          <w:szCs w:val="20"/>
        </w:rPr>
      </w:pPr>
    </w:p>
    <w:p w:rsidR="00855B98" w:rsidRPr="00042AB8" w:rsidRDefault="00855B98">
      <w:pPr>
        <w:pStyle w:val="normal0"/>
        <w:spacing w:after="0"/>
        <w:rPr>
          <w:rFonts w:ascii="Arial" w:eastAsia="Arial" w:hAnsi="Arial" w:cs="Arial"/>
          <w:sz w:val="20"/>
          <w:szCs w:val="20"/>
        </w:rPr>
      </w:pPr>
    </w:p>
    <w:p w:rsidR="00855B98" w:rsidRPr="00042AB8" w:rsidRDefault="00855B98">
      <w:pPr>
        <w:pStyle w:val="normal0"/>
        <w:spacing w:after="0"/>
        <w:rPr>
          <w:rFonts w:ascii="Arial" w:eastAsia="Arial" w:hAnsi="Arial" w:cs="Arial"/>
          <w:sz w:val="20"/>
          <w:szCs w:val="20"/>
        </w:rPr>
      </w:pPr>
    </w:p>
    <w:p w:rsidR="00855B98" w:rsidRPr="00042AB8" w:rsidRDefault="00855B98">
      <w:pPr>
        <w:pStyle w:val="normal0"/>
        <w:spacing w:after="0"/>
        <w:rPr>
          <w:rFonts w:ascii="Arial" w:eastAsia="Arial" w:hAnsi="Arial" w:cs="Arial"/>
          <w:sz w:val="20"/>
          <w:szCs w:val="20"/>
        </w:rPr>
      </w:pPr>
    </w:p>
    <w:p w:rsidR="00855B98" w:rsidRPr="00042AB8" w:rsidRDefault="00855B98">
      <w:pPr>
        <w:pStyle w:val="normal0"/>
        <w:spacing w:after="0" w:line="276" w:lineRule="auto"/>
        <w:rPr>
          <w:rFonts w:ascii="Arial" w:eastAsia="Arial" w:hAnsi="Arial" w:cs="Arial"/>
          <w:b/>
          <w:sz w:val="20"/>
          <w:szCs w:val="20"/>
        </w:rPr>
      </w:pPr>
    </w:p>
    <w:p w:rsidR="00855B98" w:rsidRPr="00042AB8" w:rsidRDefault="0029678D">
      <w:pPr>
        <w:pStyle w:val="normal0"/>
        <w:spacing w:after="0" w:line="276" w:lineRule="auto"/>
        <w:rPr>
          <w:rFonts w:ascii="Arial" w:eastAsia="Arial" w:hAnsi="Arial" w:cs="Arial"/>
          <w:sz w:val="20"/>
          <w:szCs w:val="20"/>
        </w:rPr>
      </w:pPr>
      <w:r w:rsidRPr="00042AB8">
        <w:rPr>
          <w:rFonts w:ascii="Arial" w:eastAsia="Arial" w:hAnsi="Arial" w:cs="Arial"/>
          <w:sz w:val="20"/>
          <w:szCs w:val="20"/>
        </w:rPr>
        <w:t xml:space="preserve">Director Centrul de Proiecte al Municipiului Timișoara,     </w:t>
      </w:r>
    </w:p>
    <w:p w:rsidR="00855B98" w:rsidRPr="00042AB8" w:rsidRDefault="0029678D">
      <w:pPr>
        <w:pStyle w:val="normal0"/>
        <w:spacing w:after="0" w:line="276" w:lineRule="auto"/>
        <w:rPr>
          <w:rFonts w:ascii="Arial" w:eastAsia="Arial" w:hAnsi="Arial" w:cs="Arial"/>
          <w:sz w:val="20"/>
          <w:szCs w:val="20"/>
        </w:rPr>
      </w:pPr>
      <w:r w:rsidRPr="00042AB8">
        <w:rPr>
          <w:rFonts w:ascii="Arial" w:eastAsia="Arial" w:hAnsi="Arial" w:cs="Arial"/>
          <w:sz w:val="20"/>
          <w:szCs w:val="20"/>
        </w:rPr>
        <w:t>Alexandra-Maria Rigler</w:t>
      </w:r>
    </w:p>
    <w:p w:rsidR="00855B98" w:rsidRPr="00042AB8" w:rsidRDefault="00855B98">
      <w:pPr>
        <w:pStyle w:val="normal0"/>
        <w:spacing w:after="0" w:line="276" w:lineRule="auto"/>
        <w:rPr>
          <w:rFonts w:ascii="Arial" w:eastAsia="Arial" w:hAnsi="Arial" w:cs="Arial"/>
          <w:sz w:val="20"/>
          <w:szCs w:val="20"/>
        </w:rPr>
      </w:pPr>
    </w:p>
    <w:p w:rsidR="00855B98" w:rsidRPr="00042AB8" w:rsidRDefault="00855B98">
      <w:pPr>
        <w:pStyle w:val="normal0"/>
        <w:spacing w:after="0" w:line="276" w:lineRule="auto"/>
        <w:rPr>
          <w:rFonts w:ascii="Arial" w:eastAsia="Arial" w:hAnsi="Arial" w:cs="Arial"/>
          <w:sz w:val="20"/>
          <w:szCs w:val="20"/>
        </w:rPr>
      </w:pPr>
    </w:p>
    <w:p w:rsidR="00855B98" w:rsidRPr="00042AB8" w:rsidRDefault="0029678D">
      <w:pPr>
        <w:pStyle w:val="normal0"/>
        <w:spacing w:after="0" w:line="276" w:lineRule="auto"/>
        <w:rPr>
          <w:rFonts w:ascii="Arial" w:eastAsia="Arial" w:hAnsi="Arial" w:cs="Arial"/>
          <w:sz w:val="20"/>
          <w:szCs w:val="20"/>
        </w:rPr>
      </w:pPr>
      <w:r w:rsidRPr="00042AB8">
        <w:rPr>
          <w:rFonts w:ascii="Arial" w:eastAsia="Arial" w:hAnsi="Arial" w:cs="Arial"/>
          <w:sz w:val="20"/>
          <w:szCs w:val="20"/>
        </w:rPr>
        <w:t>Contabil-șef,</w:t>
      </w:r>
    </w:p>
    <w:p w:rsidR="00855B98" w:rsidRPr="00042AB8" w:rsidRDefault="0029678D">
      <w:pPr>
        <w:pStyle w:val="normal0"/>
        <w:spacing w:after="0" w:line="276" w:lineRule="auto"/>
        <w:rPr>
          <w:rFonts w:ascii="Arial" w:eastAsia="Arial" w:hAnsi="Arial" w:cs="Arial"/>
          <w:sz w:val="20"/>
          <w:szCs w:val="20"/>
        </w:rPr>
      </w:pPr>
      <w:r w:rsidRPr="00042AB8">
        <w:rPr>
          <w:rFonts w:ascii="Arial" w:eastAsia="Arial" w:hAnsi="Arial" w:cs="Arial"/>
          <w:sz w:val="20"/>
          <w:szCs w:val="20"/>
        </w:rPr>
        <w:t>Nicușor-George Huruială</w:t>
      </w:r>
    </w:p>
    <w:p w:rsidR="00855B98" w:rsidRPr="00042AB8" w:rsidRDefault="00855B98">
      <w:pPr>
        <w:pStyle w:val="normal0"/>
        <w:spacing w:after="0" w:line="276" w:lineRule="auto"/>
        <w:rPr>
          <w:rFonts w:ascii="Arial" w:eastAsia="Arial" w:hAnsi="Arial" w:cs="Arial"/>
          <w:sz w:val="20"/>
          <w:szCs w:val="20"/>
        </w:rPr>
      </w:pPr>
    </w:p>
    <w:p w:rsidR="00855B98" w:rsidRPr="00042AB8" w:rsidRDefault="00855B98">
      <w:pPr>
        <w:pStyle w:val="normal0"/>
        <w:spacing w:after="0" w:line="276" w:lineRule="auto"/>
        <w:rPr>
          <w:rFonts w:ascii="Arial" w:eastAsia="Arial" w:hAnsi="Arial" w:cs="Arial"/>
          <w:sz w:val="20"/>
          <w:szCs w:val="20"/>
        </w:rPr>
      </w:pPr>
    </w:p>
    <w:p w:rsidR="00855B98" w:rsidRPr="00042AB8" w:rsidRDefault="0029678D">
      <w:pPr>
        <w:pStyle w:val="normal0"/>
        <w:spacing w:after="0" w:line="276" w:lineRule="auto"/>
        <w:rPr>
          <w:rFonts w:ascii="Arial" w:eastAsia="Arial" w:hAnsi="Arial" w:cs="Arial"/>
          <w:sz w:val="20"/>
          <w:szCs w:val="20"/>
        </w:rPr>
      </w:pPr>
      <w:r w:rsidRPr="00042AB8">
        <w:rPr>
          <w:rFonts w:ascii="Arial" w:eastAsia="Arial" w:hAnsi="Arial" w:cs="Arial"/>
          <w:sz w:val="20"/>
          <w:szCs w:val="20"/>
        </w:rPr>
        <w:t>Consilier juridic,</w:t>
      </w:r>
    </w:p>
    <w:p w:rsidR="00855B98" w:rsidRPr="00042AB8" w:rsidRDefault="0029678D">
      <w:pPr>
        <w:pStyle w:val="normal0"/>
        <w:spacing w:after="0" w:line="276" w:lineRule="auto"/>
        <w:rPr>
          <w:rFonts w:ascii="Arial" w:eastAsia="Arial" w:hAnsi="Arial" w:cs="Arial"/>
          <w:sz w:val="20"/>
          <w:szCs w:val="20"/>
        </w:rPr>
      </w:pPr>
      <w:r w:rsidRPr="00042AB8">
        <w:rPr>
          <w:rFonts w:ascii="Arial" w:eastAsia="Arial" w:hAnsi="Arial" w:cs="Arial"/>
          <w:sz w:val="20"/>
          <w:szCs w:val="20"/>
        </w:rPr>
        <w:t>Robert Fulda</w:t>
      </w:r>
    </w:p>
    <w:p w:rsidR="00855B98" w:rsidRPr="00042AB8" w:rsidRDefault="0029678D">
      <w:pPr>
        <w:pStyle w:val="normal0"/>
        <w:spacing w:after="0" w:line="276" w:lineRule="auto"/>
        <w:rPr>
          <w:rFonts w:ascii="Arial" w:eastAsia="Arial" w:hAnsi="Arial" w:cs="Arial"/>
          <w:b/>
          <w:sz w:val="20"/>
          <w:szCs w:val="20"/>
        </w:rPr>
      </w:pPr>
      <w:r w:rsidRPr="00042AB8">
        <w:rPr>
          <w:rFonts w:ascii="Arial" w:eastAsia="Arial" w:hAnsi="Arial" w:cs="Arial"/>
        </w:rPr>
        <w:tab/>
      </w:r>
      <w:r w:rsidRPr="00042AB8">
        <w:rPr>
          <w:rFonts w:ascii="Arial" w:eastAsia="Arial" w:hAnsi="Arial" w:cs="Arial"/>
        </w:rPr>
        <w:tab/>
      </w:r>
      <w:r w:rsidRPr="00042AB8">
        <w:rPr>
          <w:rFonts w:ascii="Arial" w:eastAsia="Arial" w:hAnsi="Arial" w:cs="Arial"/>
        </w:rPr>
        <w:tab/>
      </w:r>
      <w:r w:rsidRPr="00042AB8">
        <w:rPr>
          <w:rFonts w:ascii="Arial" w:eastAsia="Arial" w:hAnsi="Arial" w:cs="Arial"/>
        </w:rPr>
        <w:tab/>
      </w:r>
      <w:r w:rsidRPr="00042AB8">
        <w:rPr>
          <w:rFonts w:ascii="Arial" w:eastAsia="Arial" w:hAnsi="Arial" w:cs="Arial"/>
        </w:rPr>
        <w:tab/>
      </w:r>
      <w:r w:rsidRPr="00042AB8">
        <w:rPr>
          <w:rFonts w:ascii="Arial" w:eastAsia="Arial" w:hAnsi="Arial" w:cs="Arial"/>
        </w:rPr>
        <w:tab/>
      </w:r>
      <w:r w:rsidRPr="00042AB8">
        <w:rPr>
          <w:rFonts w:ascii="Arial" w:eastAsia="Arial" w:hAnsi="Arial" w:cs="Arial"/>
        </w:rPr>
        <w:tab/>
      </w:r>
      <w:r w:rsidRPr="00042AB8">
        <w:rPr>
          <w:rFonts w:ascii="Arial" w:eastAsia="Arial" w:hAnsi="Arial" w:cs="Arial"/>
        </w:rPr>
        <w:tab/>
      </w:r>
      <w:r w:rsidRPr="00042AB8">
        <w:rPr>
          <w:rFonts w:ascii="Arial" w:eastAsia="Arial" w:hAnsi="Arial" w:cs="Arial"/>
        </w:rPr>
        <w:tab/>
        <w:t xml:space="preserve">  </w:t>
      </w:r>
    </w:p>
    <w:sectPr w:rsidR="00855B98" w:rsidRPr="00042AB8" w:rsidSect="00855B98">
      <w:headerReference w:type="default" r:id="rId7"/>
      <w:footerReference w:type="default" r:id="rId8"/>
      <w:pgSz w:w="11906" w:h="16838"/>
      <w:pgMar w:top="1440" w:right="1711" w:bottom="1440" w:left="17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78D" w:rsidRDefault="0029678D" w:rsidP="00855B98">
      <w:pPr>
        <w:spacing w:after="0"/>
      </w:pPr>
      <w:r>
        <w:separator/>
      </w:r>
    </w:p>
  </w:endnote>
  <w:endnote w:type="continuationSeparator" w:id="0">
    <w:p w:rsidR="0029678D" w:rsidRDefault="0029678D" w:rsidP="00855B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98" w:rsidRDefault="00855B98">
    <w:pPr>
      <w:pStyle w:val="normal0"/>
      <w:pBdr>
        <w:top w:val="nil"/>
        <w:left w:val="nil"/>
        <w:bottom w:val="nil"/>
        <w:right w:val="nil"/>
        <w:between w:val="nil"/>
      </w:pBdr>
      <w:tabs>
        <w:tab w:val="center" w:pos="4680"/>
        <w:tab w:val="right" w:pos="9360"/>
      </w:tabs>
      <w:spacing w:after="0"/>
      <w:jc w:val="center"/>
      <w:rPr>
        <w:rFonts w:ascii="Roboto" w:eastAsia="Roboto" w:hAnsi="Roboto" w:cs="Roboto"/>
        <w:sz w:val="20"/>
        <w:szCs w:val="20"/>
      </w:rPr>
    </w:pPr>
  </w:p>
  <w:p w:rsidR="00855B98" w:rsidRDefault="00855B98">
    <w:pPr>
      <w:pStyle w:val="normal0"/>
      <w:pBdr>
        <w:top w:val="nil"/>
        <w:left w:val="nil"/>
        <w:bottom w:val="nil"/>
        <w:right w:val="nil"/>
        <w:between w:val="nil"/>
      </w:pBdr>
      <w:tabs>
        <w:tab w:val="center" w:pos="4680"/>
        <w:tab w:val="right" w:pos="9360"/>
      </w:tabs>
      <w:spacing w:after="0"/>
      <w:jc w:val="center"/>
      <w:rPr>
        <w:rFonts w:ascii="Roboto" w:eastAsia="Roboto" w:hAnsi="Roboto" w:cs="Roboto"/>
        <w:color w:val="000000"/>
        <w:sz w:val="18"/>
        <w:szCs w:val="18"/>
      </w:rPr>
    </w:pPr>
    <w:r>
      <w:rPr>
        <w:rFonts w:ascii="Roboto" w:eastAsia="Roboto" w:hAnsi="Roboto" w:cs="Roboto"/>
        <w:color w:val="000000"/>
        <w:sz w:val="20"/>
        <w:szCs w:val="20"/>
      </w:rPr>
      <w:fldChar w:fldCharType="begin"/>
    </w:r>
    <w:r w:rsidR="0029678D">
      <w:rPr>
        <w:rFonts w:ascii="Roboto" w:eastAsia="Roboto" w:hAnsi="Roboto" w:cs="Roboto"/>
        <w:color w:val="000000"/>
        <w:sz w:val="20"/>
        <w:szCs w:val="20"/>
      </w:rPr>
      <w:instrText>PAGE</w:instrText>
    </w:r>
    <w:r w:rsidR="00042AB8">
      <w:rPr>
        <w:rFonts w:ascii="Roboto" w:eastAsia="Roboto" w:hAnsi="Roboto" w:cs="Roboto"/>
        <w:color w:val="000000"/>
        <w:sz w:val="20"/>
        <w:szCs w:val="20"/>
      </w:rPr>
      <w:fldChar w:fldCharType="separate"/>
    </w:r>
    <w:r w:rsidR="00042AB8">
      <w:rPr>
        <w:rFonts w:ascii="Roboto" w:eastAsia="Roboto" w:hAnsi="Roboto" w:cs="Roboto"/>
        <w:noProof/>
        <w:color w:val="000000"/>
        <w:sz w:val="20"/>
        <w:szCs w:val="20"/>
      </w:rPr>
      <w:t>2</w:t>
    </w:r>
    <w:r>
      <w:rPr>
        <w:rFonts w:ascii="Roboto" w:eastAsia="Roboto" w:hAnsi="Roboto" w:cs="Roboto"/>
        <w:color w:val="000000"/>
        <w:sz w:val="20"/>
        <w:szCs w:val="20"/>
      </w:rPr>
      <w:fldChar w:fldCharType="end"/>
    </w:r>
  </w:p>
  <w:p w:rsidR="00855B98" w:rsidRDefault="00855B98">
    <w:pPr>
      <w:pStyle w:val="normal0"/>
      <w:pBdr>
        <w:top w:val="nil"/>
        <w:left w:val="nil"/>
        <w:bottom w:val="nil"/>
        <w:right w:val="nil"/>
        <w:between w:val="nil"/>
      </w:pBdr>
      <w:tabs>
        <w:tab w:val="center" w:pos="4680"/>
        <w:tab w:val="right" w:pos="9360"/>
      </w:tabs>
      <w:spacing w:after="0"/>
      <w:rPr>
        <w:rFonts w:ascii="Roboto" w:eastAsia="Roboto" w:hAnsi="Roboto" w:cs="Robo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78D" w:rsidRDefault="0029678D" w:rsidP="00855B98">
      <w:pPr>
        <w:spacing w:after="0"/>
      </w:pPr>
      <w:r>
        <w:separator/>
      </w:r>
    </w:p>
  </w:footnote>
  <w:footnote w:type="continuationSeparator" w:id="0">
    <w:p w:rsidR="0029678D" w:rsidRDefault="0029678D" w:rsidP="00855B9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98" w:rsidRDefault="0029678D">
    <w:pPr>
      <w:pStyle w:val="normal0"/>
      <w:spacing w:after="0"/>
      <w:rPr>
        <w:rFonts w:ascii="Roboto" w:eastAsia="Roboto" w:hAnsi="Roboto" w:cs="Roboto"/>
        <w:b/>
        <w:sz w:val="16"/>
        <w:szCs w:val="16"/>
      </w:rPr>
    </w:pPr>
    <w:r>
      <w:rPr>
        <w:rFonts w:ascii="Roboto" w:eastAsia="Roboto" w:hAnsi="Roboto" w:cs="Roboto"/>
        <w:b/>
        <w:noProof/>
        <w:sz w:val="16"/>
        <w:szCs w:val="16"/>
        <w:lang w:val="en-US"/>
      </w:rPr>
      <w:drawing>
        <wp:anchor distT="0" distB="0" distL="0" distR="0" simplePos="0" relativeHeight="251658240" behindDoc="0" locked="0" layoutInCell="1" allowOverlap="1">
          <wp:simplePos x="0" y="0"/>
          <wp:positionH relativeFrom="page">
            <wp:posOffset>6387750</wp:posOffset>
          </wp:positionH>
          <wp:positionV relativeFrom="page">
            <wp:posOffset>352425</wp:posOffset>
          </wp:positionV>
          <wp:extent cx="769947" cy="769947"/>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000" r="12000"/>
                  <a:stretch>
                    <a:fillRect/>
                  </a:stretch>
                </pic:blipFill>
                <pic:spPr>
                  <a:xfrm>
                    <a:off x="0" y="0"/>
                    <a:ext cx="769947" cy="769947"/>
                  </a:xfrm>
                  <a:prstGeom prst="rect">
                    <a:avLst/>
                  </a:prstGeom>
                  <a:ln/>
                </pic:spPr>
              </pic:pic>
            </a:graphicData>
          </a:graphic>
        </wp:anchor>
      </w:drawing>
    </w:r>
  </w:p>
  <w:p w:rsidR="00855B98" w:rsidRDefault="0029678D" w:rsidP="00042AB8">
    <w:pPr>
      <w:pStyle w:val="normal0"/>
      <w:spacing w:after="0" w:line="276" w:lineRule="auto"/>
      <w:rPr>
        <w:rFonts w:ascii="Arial" w:eastAsia="Arial" w:hAnsi="Arial" w:cs="Arial"/>
        <w:sz w:val="16"/>
        <w:szCs w:val="16"/>
      </w:rPr>
    </w:pPr>
    <w:r>
      <w:rPr>
        <w:rFonts w:ascii="Arial" w:eastAsia="Arial" w:hAnsi="Arial" w:cs="Arial"/>
        <w:b/>
        <w:sz w:val="16"/>
        <w:szCs w:val="16"/>
      </w:rPr>
      <w:t>Centrul de Proiecte al Municipiului Timișoara</w:t>
    </w:r>
  </w:p>
  <w:p w:rsidR="00855B98" w:rsidRDefault="0029678D" w:rsidP="00042AB8">
    <w:pPr>
      <w:pStyle w:val="normal0"/>
      <w:spacing w:after="0" w:line="276" w:lineRule="auto"/>
      <w:rPr>
        <w:rFonts w:ascii="Arial" w:eastAsia="Arial" w:hAnsi="Arial" w:cs="Arial"/>
        <w:sz w:val="16"/>
        <w:szCs w:val="16"/>
      </w:rPr>
    </w:pPr>
    <w:r>
      <w:rPr>
        <w:rFonts w:ascii="Arial" w:eastAsia="Arial" w:hAnsi="Arial" w:cs="Arial"/>
        <w:sz w:val="16"/>
        <w:szCs w:val="16"/>
      </w:rPr>
      <w:t>Str. Vasile Alecsandri, nr. 1, SAD 7, CIF 44202834</w:t>
    </w:r>
  </w:p>
  <w:p w:rsidR="00855B98" w:rsidRDefault="0029678D" w:rsidP="00042AB8">
    <w:pPr>
      <w:pStyle w:val="normal0"/>
      <w:spacing w:after="0" w:line="276" w:lineRule="auto"/>
      <w:rPr>
        <w:rFonts w:ascii="Arial" w:eastAsia="Arial" w:hAnsi="Arial" w:cs="Arial"/>
        <w:sz w:val="16"/>
        <w:szCs w:val="16"/>
      </w:rPr>
    </w:pPr>
    <w:r>
      <w:rPr>
        <w:rFonts w:ascii="Arial" w:eastAsia="Arial" w:hAnsi="Arial" w:cs="Arial"/>
        <w:sz w:val="16"/>
        <w:szCs w:val="16"/>
        <w:highlight w:val="white"/>
      </w:rPr>
      <w:t>centruldeproiecte@primariatm.ro</w:t>
    </w:r>
  </w:p>
  <w:p w:rsidR="00855B98" w:rsidRDefault="00855B98">
    <w:pPr>
      <w:pStyle w:val="normal0"/>
      <w:spacing w:after="0" w:line="276" w:lineRule="auto"/>
      <w:ind w:left="-283" w:hanging="283"/>
      <w:rPr>
        <w:rFonts w:ascii="Roboto" w:eastAsia="Roboto" w:hAnsi="Roboto" w:cs="Roboto"/>
        <w:sz w:val="16"/>
        <w:szCs w:val="16"/>
      </w:rPr>
    </w:pPr>
  </w:p>
  <w:p w:rsidR="00855B98" w:rsidRDefault="00855B98">
    <w:pPr>
      <w:pStyle w:val="normal0"/>
      <w:spacing w:after="0"/>
      <w:jc w:val="right"/>
      <w:rPr>
        <w:rFonts w:ascii="Candara" w:eastAsia="Candara" w:hAnsi="Candara" w:cs="Candara"/>
        <w:sz w:val="16"/>
        <w:szCs w:val="16"/>
      </w:rPr>
    </w:pPr>
  </w:p>
  <w:p w:rsidR="00855B98" w:rsidRDefault="00855B98">
    <w:pPr>
      <w:pStyle w:val="normal0"/>
      <w:spacing w:after="0"/>
      <w:rPr>
        <w:rFonts w:ascii="Candara" w:eastAsia="Candara" w:hAnsi="Candara" w:cs="Candara"/>
        <w:sz w:val="16"/>
        <w:szCs w:val="16"/>
      </w:rPr>
    </w:pPr>
  </w:p>
  <w:p w:rsidR="00855B98" w:rsidRDefault="00855B98">
    <w:pPr>
      <w:pStyle w:val="normal0"/>
      <w:spacing w:after="0"/>
      <w:rPr>
        <w:rFonts w:ascii="Candara" w:eastAsia="Candara" w:hAnsi="Candara" w:cs="Candara"/>
        <w:sz w:val="16"/>
        <w:szCs w:val="16"/>
      </w:rPr>
    </w:pPr>
  </w:p>
  <w:p w:rsidR="00855B98" w:rsidRDefault="00855B98">
    <w:pPr>
      <w:pStyle w:val="normal0"/>
      <w:spacing w:after="80"/>
      <w:rPr>
        <w:rFonts w:ascii="Candara" w:eastAsia="Candara" w:hAnsi="Candara" w:cs="Candara"/>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1F4E"/>
    <w:multiLevelType w:val="multilevel"/>
    <w:tmpl w:val="5E287C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44750082"/>
    <w:multiLevelType w:val="multilevel"/>
    <w:tmpl w:val="1D0E2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E1965E4"/>
    <w:multiLevelType w:val="multilevel"/>
    <w:tmpl w:val="5CA82C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6A545B9A"/>
    <w:multiLevelType w:val="multilevel"/>
    <w:tmpl w:val="F91A1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855B98"/>
    <w:rsid w:val="00042AB8"/>
    <w:rsid w:val="0029678D"/>
    <w:rsid w:val="00855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55B98"/>
    <w:pPr>
      <w:keepNext/>
      <w:keepLines/>
      <w:spacing w:before="480" w:after="120"/>
      <w:outlineLvl w:val="0"/>
    </w:pPr>
    <w:rPr>
      <w:b/>
      <w:sz w:val="48"/>
      <w:szCs w:val="48"/>
    </w:rPr>
  </w:style>
  <w:style w:type="paragraph" w:styleId="Heading2">
    <w:name w:val="heading 2"/>
    <w:basedOn w:val="normal0"/>
    <w:next w:val="normal0"/>
    <w:rsid w:val="00855B98"/>
    <w:pPr>
      <w:keepNext/>
      <w:keepLines/>
      <w:spacing w:before="360" w:after="80"/>
      <w:outlineLvl w:val="1"/>
    </w:pPr>
    <w:rPr>
      <w:b/>
      <w:sz w:val="36"/>
      <w:szCs w:val="36"/>
    </w:rPr>
  </w:style>
  <w:style w:type="paragraph" w:styleId="Heading3">
    <w:name w:val="heading 3"/>
    <w:basedOn w:val="normal0"/>
    <w:next w:val="normal0"/>
    <w:rsid w:val="00855B98"/>
    <w:pPr>
      <w:keepNext/>
      <w:keepLines/>
      <w:spacing w:before="280" w:after="80"/>
      <w:outlineLvl w:val="2"/>
    </w:pPr>
    <w:rPr>
      <w:b/>
      <w:sz w:val="28"/>
      <w:szCs w:val="28"/>
    </w:rPr>
  </w:style>
  <w:style w:type="paragraph" w:styleId="Heading4">
    <w:name w:val="heading 4"/>
    <w:basedOn w:val="normal0"/>
    <w:next w:val="normal0"/>
    <w:rsid w:val="00855B98"/>
    <w:pPr>
      <w:keepNext/>
      <w:keepLines/>
      <w:spacing w:before="240" w:after="40"/>
      <w:outlineLvl w:val="3"/>
    </w:pPr>
    <w:rPr>
      <w:b/>
      <w:sz w:val="24"/>
      <w:szCs w:val="24"/>
    </w:rPr>
  </w:style>
  <w:style w:type="paragraph" w:styleId="Heading5">
    <w:name w:val="heading 5"/>
    <w:basedOn w:val="normal0"/>
    <w:next w:val="normal0"/>
    <w:rsid w:val="00855B98"/>
    <w:pPr>
      <w:keepNext/>
      <w:keepLines/>
      <w:spacing w:before="220" w:after="40"/>
      <w:outlineLvl w:val="4"/>
    </w:pPr>
    <w:rPr>
      <w:b/>
    </w:rPr>
  </w:style>
  <w:style w:type="paragraph" w:styleId="Heading6">
    <w:name w:val="heading 6"/>
    <w:basedOn w:val="normal0"/>
    <w:next w:val="normal0"/>
    <w:rsid w:val="00855B9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55B98"/>
  </w:style>
  <w:style w:type="paragraph" w:styleId="Title">
    <w:name w:val="Title"/>
    <w:basedOn w:val="normal0"/>
    <w:next w:val="normal0"/>
    <w:rsid w:val="00855B98"/>
    <w:pPr>
      <w:keepNext/>
      <w:keepLines/>
      <w:spacing w:before="480" w:after="120"/>
    </w:pPr>
    <w:rPr>
      <w:b/>
      <w:sz w:val="72"/>
      <w:szCs w:val="72"/>
    </w:rPr>
  </w:style>
  <w:style w:type="paragraph" w:styleId="Subtitle">
    <w:name w:val="Subtitle"/>
    <w:basedOn w:val="normal0"/>
    <w:next w:val="normal0"/>
    <w:rsid w:val="00855B9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042AB8"/>
    <w:pPr>
      <w:tabs>
        <w:tab w:val="center" w:pos="4703"/>
        <w:tab w:val="right" w:pos="9406"/>
      </w:tabs>
      <w:spacing w:after="0"/>
    </w:pPr>
  </w:style>
  <w:style w:type="character" w:customStyle="1" w:styleId="HeaderChar">
    <w:name w:val="Header Char"/>
    <w:basedOn w:val="DefaultParagraphFont"/>
    <w:link w:val="Header"/>
    <w:uiPriority w:val="99"/>
    <w:semiHidden/>
    <w:rsid w:val="00042AB8"/>
  </w:style>
  <w:style w:type="paragraph" w:styleId="Footer">
    <w:name w:val="footer"/>
    <w:basedOn w:val="Normal"/>
    <w:link w:val="FooterChar"/>
    <w:uiPriority w:val="99"/>
    <w:semiHidden/>
    <w:unhideWhenUsed/>
    <w:rsid w:val="00042AB8"/>
    <w:pPr>
      <w:tabs>
        <w:tab w:val="center" w:pos="4703"/>
        <w:tab w:val="right" w:pos="9406"/>
      </w:tabs>
      <w:spacing w:after="0"/>
    </w:pPr>
  </w:style>
  <w:style w:type="character" w:customStyle="1" w:styleId="FooterChar">
    <w:name w:val="Footer Char"/>
    <w:basedOn w:val="DefaultParagraphFont"/>
    <w:link w:val="Footer"/>
    <w:uiPriority w:val="99"/>
    <w:semiHidden/>
    <w:rsid w:val="00042AB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arigler</cp:lastModifiedBy>
  <cp:revision>2</cp:revision>
  <dcterms:created xsi:type="dcterms:W3CDTF">2021-07-26T13:54:00Z</dcterms:created>
  <dcterms:modified xsi:type="dcterms:W3CDTF">2021-07-26T13:55:00Z</dcterms:modified>
</cp:coreProperties>
</file>