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EB" w:rsidRPr="004145E5" w:rsidRDefault="00F36BF7" w:rsidP="00F913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 xml:space="preserve">Nr. 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>UR2017-004447</w:t>
      </w:r>
      <w:r w:rsidR="00F913EB" w:rsidRPr="004145E5">
        <w:rPr>
          <w:rFonts w:ascii="Times New Roman" w:hAnsi="Times New Roman"/>
          <w:bCs/>
          <w:sz w:val="22"/>
          <w:szCs w:val="22"/>
          <w:lang w:val="ro-RO"/>
        </w:rPr>
        <w:t>/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>04.05</w:t>
      </w:r>
      <w:r w:rsidR="00F913EB" w:rsidRPr="004145E5">
        <w:rPr>
          <w:rFonts w:ascii="Times New Roman" w:hAnsi="Times New Roman"/>
          <w:bCs/>
          <w:sz w:val="22"/>
          <w:szCs w:val="22"/>
          <w:lang w:val="ro-RO"/>
        </w:rPr>
        <w:t>.2017</w:t>
      </w:r>
    </w:p>
    <w:p w:rsidR="00F913EB" w:rsidRPr="004145E5" w:rsidRDefault="00F913EB" w:rsidP="00F913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145E5">
        <w:rPr>
          <w:rFonts w:ascii="Times New Roman" w:hAnsi="Times New Roman"/>
          <w:b/>
          <w:sz w:val="22"/>
          <w:szCs w:val="22"/>
          <w:lang w:val="ro-RO"/>
        </w:rPr>
        <w:t xml:space="preserve">RAPORTUL INFORMĂRII ŞI CONSULTĂRII PUBLICULUI </w:t>
      </w: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Etapa 2 - etapa elaborării propunerilor PUZ şi RLU aferent, de informare şi consultare a publicului cu privire la documentaţia:</w:t>
      </w:r>
    </w:p>
    <w:p w:rsidR="00F913EB" w:rsidRPr="004145E5" w:rsidRDefault="00F913EB" w:rsidP="003C4003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b/>
          <w:sz w:val="22"/>
          <w:szCs w:val="22"/>
          <w:lang w:val="ro-RO"/>
        </w:rPr>
        <w:t xml:space="preserve">PUZ </w:t>
      </w:r>
      <w:r w:rsidR="003C4003" w:rsidRPr="004145E5">
        <w:rPr>
          <w:rFonts w:ascii="Times New Roman" w:hAnsi="Times New Roman"/>
          <w:sz w:val="22"/>
          <w:szCs w:val="22"/>
          <w:lang w:val="ro-RO"/>
        </w:rPr>
        <w:t xml:space="preserve">- </w:t>
      </w:r>
      <w:r w:rsidR="00F36BF7" w:rsidRPr="004145E5">
        <w:rPr>
          <w:rFonts w:ascii="Times New Roman" w:hAnsi="Times New Roman"/>
          <w:sz w:val="22"/>
          <w:szCs w:val="22"/>
          <w:lang w:val="ro-RO"/>
        </w:rPr>
        <w:t>DEZVOLTARE ZONA MIXTA: LOCUINTE COLECTIVE SI SERVICII”;</w:t>
      </w:r>
    </w:p>
    <w:p w:rsidR="00F36BF7" w:rsidRPr="004145E5" w:rsidRDefault="00F36BF7" w:rsidP="00F36BF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b/>
          <w:sz w:val="22"/>
          <w:szCs w:val="22"/>
          <w:lang w:val="ro-RO"/>
        </w:rPr>
        <w:t>Amplasament</w:t>
      </w:r>
      <w:r w:rsidRPr="004145E5">
        <w:rPr>
          <w:rFonts w:ascii="Times New Roman" w:hAnsi="Times New Roman"/>
          <w:sz w:val="22"/>
          <w:szCs w:val="22"/>
          <w:lang w:val="ro-RO"/>
        </w:rPr>
        <w:t>: Str. Bucovinei nr. 73, Timisoara;</w:t>
      </w:r>
    </w:p>
    <w:p w:rsidR="00F36BF7" w:rsidRPr="004145E5" w:rsidRDefault="00F36BF7" w:rsidP="00F36BF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b/>
          <w:sz w:val="22"/>
          <w:szCs w:val="22"/>
          <w:lang w:val="ro-RO"/>
        </w:rPr>
        <w:t>Beneficiari</w:t>
      </w:r>
      <w:r w:rsidRPr="004145E5">
        <w:rPr>
          <w:rFonts w:ascii="Times New Roman" w:hAnsi="Times New Roman"/>
          <w:sz w:val="22"/>
          <w:szCs w:val="22"/>
          <w:lang w:val="ro-RO"/>
        </w:rPr>
        <w:t>: Ghiurcan Stefan Alexandru si Ghiurcan Rodica;</w:t>
      </w:r>
    </w:p>
    <w:p w:rsidR="00F36BF7" w:rsidRPr="004145E5" w:rsidRDefault="00F36BF7" w:rsidP="00F36BF7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b/>
          <w:sz w:val="22"/>
          <w:szCs w:val="22"/>
          <w:lang w:val="ro-RO"/>
        </w:rPr>
        <w:t>Proiectant</w:t>
      </w:r>
      <w:r w:rsidRPr="004145E5">
        <w:rPr>
          <w:rFonts w:ascii="Times New Roman" w:hAnsi="Times New Roman"/>
          <w:sz w:val="22"/>
          <w:szCs w:val="22"/>
          <w:lang w:val="ro-RO"/>
        </w:rPr>
        <w:t>: S.C. ARHITECT TRAMBITAS S.R.L.;</w:t>
      </w:r>
    </w:p>
    <w:p w:rsidR="00F913EB" w:rsidRPr="004145E5" w:rsidRDefault="00F913EB" w:rsidP="00F913EB">
      <w:pPr>
        <w:spacing w:after="0"/>
        <w:ind w:left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u w:val="single"/>
          <w:lang w:val="ro-RO"/>
        </w:rPr>
      </w:pPr>
      <w:r w:rsidRPr="004145E5">
        <w:rPr>
          <w:rFonts w:ascii="Times New Roman" w:hAnsi="Times New Roman"/>
          <w:sz w:val="22"/>
          <w:szCs w:val="22"/>
          <w:u w:val="single"/>
          <w:lang w:val="ro-RO"/>
        </w:rPr>
        <w:t xml:space="preserve">Detalii privind tehnicile şi metodele utilizate de solicitant pentru a informa şi a consulta publicul: </w:t>
      </w:r>
    </w:p>
    <w:p w:rsidR="00F913EB" w:rsidRPr="004145E5" w:rsidRDefault="00F913E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 xml:space="preserve">Cetăţenii au fost invitaţi să transmită observaţii referitoare la documentaţia P.U.Z. disponibilă la Compartimentul Avizare Conformităţi PUG/PUD /PUZ din cadrul Directiei Urbanism şi afişată pe site-ul </w:t>
      </w:r>
      <w:hyperlink r:id="rId7" w:history="1">
        <w:r w:rsidRPr="004145E5">
          <w:rPr>
            <w:rFonts w:ascii="Times New Roman" w:hAnsi="Times New Roman"/>
            <w:sz w:val="22"/>
            <w:szCs w:val="22"/>
            <w:lang w:val="ro-RO"/>
          </w:rPr>
          <w:t>www.primariatm.ro</w:t>
        </w:r>
      </w:hyperlink>
      <w:r w:rsidRPr="004145E5">
        <w:rPr>
          <w:rFonts w:ascii="Times New Roman" w:hAnsi="Times New Roman"/>
          <w:sz w:val="22"/>
          <w:szCs w:val="22"/>
          <w:lang w:val="ro-RO"/>
        </w:rPr>
        <w:t xml:space="preserve">, în perioada </w:t>
      </w:r>
      <w:r w:rsidR="00F36BF7" w:rsidRPr="004145E5">
        <w:rPr>
          <w:rFonts w:ascii="Times New Roman" w:hAnsi="Times New Roman"/>
          <w:b/>
          <w:sz w:val="22"/>
          <w:szCs w:val="22"/>
          <w:lang w:val="ro-RO"/>
        </w:rPr>
        <w:t>30.03.2017 – 23.04.2017</w:t>
      </w:r>
      <w:r w:rsidRPr="004145E5">
        <w:rPr>
          <w:rFonts w:ascii="Times New Roman" w:hAnsi="Times New Roman"/>
          <w:sz w:val="22"/>
          <w:szCs w:val="22"/>
          <w:lang w:val="ro-RO"/>
        </w:rPr>
        <w:t xml:space="preserve">. În acest scop, beneficiarul documentatiei a amplasat un panou pe parcela care a generat planul urbanistic zonal iar Directia Urbanism a amplasat 4 panouri (3 panouri pe teritoriul zonei studiate prin P.U.Z. si 1 panou la sediul Primariei Municipiului Timisoara), conform   Anexei 2 din H.C.L. nr. 63/21.02.2017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hyperlink r:id="rId8" w:history="1">
        <w:r w:rsidRPr="004145E5">
          <w:rPr>
            <w:sz w:val="22"/>
            <w:szCs w:val="22"/>
            <w:lang w:val="ro-RO"/>
          </w:rPr>
          <w:t>www.primariatm.ro</w:t>
        </w:r>
      </w:hyperlink>
      <w:r w:rsidRPr="004145E5">
        <w:rPr>
          <w:rFonts w:ascii="Times New Roman" w:hAnsi="Times New Roman"/>
          <w:sz w:val="22"/>
          <w:szCs w:val="22"/>
          <w:lang w:val="ro-RO"/>
        </w:rPr>
        <w:t>.</w:t>
      </w:r>
    </w:p>
    <w:p w:rsidR="00F913EB" w:rsidRPr="004145E5" w:rsidRDefault="003C4003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Proprietari notificaţi</w:t>
      </w:r>
      <w:r w:rsidR="00F913EB" w:rsidRPr="004145E5">
        <w:rPr>
          <w:rFonts w:ascii="Times New Roman" w:hAnsi="Times New Roman"/>
          <w:sz w:val="22"/>
          <w:szCs w:val="22"/>
          <w:lang w:val="ro-RO"/>
        </w:rPr>
        <w:t xml:space="preserve">: </w:t>
      </w:r>
    </w:p>
    <w:p w:rsidR="00F36BF7" w:rsidRPr="004145E5" w:rsidRDefault="00F36BF7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Proprietari imobil Str. BUCOVINEI</w:t>
      </w:r>
      <w:r w:rsidR="004145E5">
        <w:rPr>
          <w:rFonts w:ascii="Times New Roman" w:hAnsi="Times New Roman"/>
          <w:sz w:val="22"/>
          <w:szCs w:val="22"/>
          <w:lang w:val="ro-RO"/>
        </w:rPr>
        <w:t xml:space="preserve"> nr.</w:t>
      </w:r>
      <w:r w:rsidRPr="004145E5">
        <w:rPr>
          <w:rFonts w:ascii="Times New Roman" w:hAnsi="Times New Roman"/>
          <w:sz w:val="22"/>
          <w:szCs w:val="22"/>
          <w:lang w:val="ro-RO"/>
        </w:rPr>
        <w:t>: 45, 45A, 45B, 45C, 45D, 47A, 49, 54, 56, 58A, 59A, 59B, 59, 61, 63, 65, 67, 69, 71, 79;</w:t>
      </w:r>
    </w:p>
    <w:p w:rsidR="00F36BF7" w:rsidRPr="004145E5" w:rsidRDefault="00F36BF7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BUCOVINEI – BGS DIVIZIA DE SECURITATE;</w:t>
      </w:r>
    </w:p>
    <w:p w:rsidR="00F36BF7" w:rsidRPr="004145E5" w:rsidRDefault="00F36BF7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CALEA TORONTALULUI – BISERICA METANOIA;</w:t>
      </w:r>
    </w:p>
    <w:p w:rsidR="00F36BF7" w:rsidRPr="004145E5" w:rsidRDefault="00F36BF7" w:rsidP="00F36BF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CALEA TORONTALULUI – STATIA PECO;</w:t>
      </w:r>
    </w:p>
    <w:p w:rsidR="00F913EB" w:rsidRPr="004145E5" w:rsidRDefault="00F913EB" w:rsidP="00F913EB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F36BF7" w:rsidRPr="004145E5" w:rsidRDefault="00F36BF7" w:rsidP="00F36BF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 xml:space="preserve">Documentaţia disponibilă la Compartimentul Avizare Conformităţi PUG/PUD/PUZ, nu a fost consultată de nici o persoana. </w:t>
      </w:r>
    </w:p>
    <w:p w:rsidR="00F913EB" w:rsidRPr="004145E5" w:rsidRDefault="00F36BF7" w:rsidP="00F36BF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 xml:space="preserve">La intalnirea cu proiectantul S.C. ARHITECT TRAMBITAS S.R.L, organizata in data de </w:t>
      </w:r>
      <w:r w:rsidRPr="004145E5">
        <w:rPr>
          <w:rFonts w:ascii="Times New Roman" w:hAnsi="Times New Roman"/>
          <w:b/>
          <w:sz w:val="22"/>
          <w:szCs w:val="22"/>
          <w:lang w:val="ro-RO"/>
        </w:rPr>
        <w:t>12.04.2017</w:t>
      </w:r>
      <w:r w:rsidRPr="004145E5">
        <w:rPr>
          <w:rFonts w:ascii="Times New Roman" w:hAnsi="Times New Roman"/>
          <w:sz w:val="22"/>
          <w:szCs w:val="22"/>
          <w:lang w:val="ro-RO"/>
        </w:rPr>
        <w:t xml:space="preserve">, intre orele </w:t>
      </w:r>
      <w:r w:rsidRPr="004145E5">
        <w:rPr>
          <w:rFonts w:ascii="Times New Roman" w:hAnsi="Times New Roman"/>
          <w:b/>
          <w:sz w:val="22"/>
          <w:szCs w:val="22"/>
          <w:lang w:val="ro-RO"/>
        </w:rPr>
        <w:t>14,00 – 15,00</w:t>
      </w:r>
      <w:r w:rsidRPr="004145E5">
        <w:rPr>
          <w:rFonts w:ascii="Times New Roman" w:hAnsi="Times New Roman"/>
          <w:sz w:val="22"/>
          <w:szCs w:val="22"/>
          <w:lang w:val="ro-RO"/>
        </w:rPr>
        <w:t>, la sediul PMT – Directia de Urbanism, nu s-a prezentat nici o persoana. Nu au fost formulate obiectii/ sesizari</w:t>
      </w:r>
      <w:r w:rsidR="00F913EB" w:rsidRPr="004145E5">
        <w:rPr>
          <w:rFonts w:ascii="Times New Roman" w:hAnsi="Times New Roman"/>
          <w:sz w:val="22"/>
          <w:szCs w:val="22"/>
          <w:lang w:val="ro-RO"/>
        </w:rPr>
        <w:t>.</w:t>
      </w:r>
    </w:p>
    <w:p w:rsidR="00F913EB" w:rsidRPr="004145E5" w:rsidRDefault="0027290B" w:rsidP="00F913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 xml:space="preserve">Având în vedere că s-au parcurs procedurile prevăzute de 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 xml:space="preserve">H.C.L. nr. 43/29.07.2016 privind aprobarea Regulamentului local de implicare a publicului în elaborarea sau revizuirea planurilor de urbanism si amenajare a  teritoriului, Etapa 2 – Etapa elaborării propunerilor  PUZ şi RLU aferent, de informare şi consultare a publicului cu privire la documentaţia Plan Urbanistic Zonal </w:t>
      </w:r>
      <w:r w:rsidR="00F36BF7" w:rsidRPr="004145E5">
        <w:rPr>
          <w:rFonts w:ascii="Times New Roman" w:hAnsi="Times New Roman"/>
          <w:sz w:val="22"/>
          <w:szCs w:val="22"/>
          <w:lang w:val="ro-RO"/>
        </w:rPr>
        <w:t>DEZVOLTARE ZONA MIXTA: LOCUINTE COLECTIVE SI SERVICII”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>,</w:t>
      </w:r>
      <w:r w:rsidRPr="004145E5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F36BF7" w:rsidRPr="004145E5">
        <w:rPr>
          <w:rFonts w:ascii="Times New Roman" w:hAnsi="Times New Roman"/>
          <w:sz w:val="22"/>
          <w:szCs w:val="22"/>
          <w:lang w:val="ro-RO"/>
        </w:rPr>
        <w:t>Str. Bucovinei nr. 73, Timişoara</w:t>
      </w:r>
      <w:r w:rsidRPr="004145E5">
        <w:rPr>
          <w:rFonts w:ascii="Times New Roman" w:hAnsi="Times New Roman"/>
          <w:sz w:val="22"/>
          <w:szCs w:val="22"/>
          <w:lang w:val="ro-RO"/>
        </w:rPr>
        <w:t>,</w:t>
      </w:r>
      <w:r w:rsidRPr="004145E5">
        <w:rPr>
          <w:rFonts w:ascii="Times New Roman" w:hAnsi="Times New Roman"/>
          <w:bCs/>
          <w:sz w:val="22"/>
          <w:szCs w:val="22"/>
          <w:lang w:val="ro-RO"/>
        </w:rPr>
        <w:t xml:space="preserve"> a fost finalizată şi se va putea începe circuitul legal de avizare.</w:t>
      </w:r>
      <w:r w:rsidRPr="004145E5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:rsidR="00F913EB" w:rsidRPr="004145E5" w:rsidRDefault="00F913EB" w:rsidP="003C400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:rsidR="00B64F6E" w:rsidRPr="004145E5" w:rsidRDefault="00B64F6E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ARHITECT SEF</w:t>
      </w:r>
    </w:p>
    <w:p w:rsidR="00F913EB" w:rsidRPr="004145E5" w:rsidRDefault="0056048C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Emilian Sorin CIURARIU</w:t>
      </w:r>
    </w:p>
    <w:p w:rsidR="00F913EB" w:rsidRPr="004145E5" w:rsidRDefault="00F913EB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F913EB" w:rsidRPr="004145E5" w:rsidRDefault="00F913EB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CONSILIER</w:t>
      </w:r>
    </w:p>
    <w:p w:rsidR="00534C07" w:rsidRPr="004145E5" w:rsidRDefault="00534C07" w:rsidP="003C400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2"/>
          <w:szCs w:val="22"/>
          <w:lang w:val="ro-RO"/>
        </w:rPr>
      </w:pPr>
      <w:r w:rsidRPr="004145E5">
        <w:rPr>
          <w:rFonts w:ascii="Times New Roman" w:hAnsi="Times New Roman"/>
          <w:sz w:val="22"/>
          <w:szCs w:val="22"/>
          <w:lang w:val="ro-RO"/>
        </w:rPr>
        <w:t>Steluta URSU</w:t>
      </w:r>
    </w:p>
    <w:p w:rsidR="003F21A9" w:rsidRPr="004145E5" w:rsidRDefault="000C5B2E" w:rsidP="003C400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6"/>
          <w:szCs w:val="16"/>
          <w:lang w:val="ro-RO"/>
        </w:rPr>
      </w:pPr>
      <w:r w:rsidRPr="004145E5">
        <w:rPr>
          <w:rFonts w:ascii="Times New Roman" w:hAnsi="Times New Roman"/>
          <w:sz w:val="16"/>
          <w:szCs w:val="16"/>
          <w:lang w:val="ro-RO"/>
        </w:rPr>
        <w:t>Red</w:t>
      </w:r>
      <w:r w:rsidR="003F21A9" w:rsidRPr="004145E5">
        <w:rPr>
          <w:rFonts w:ascii="Times New Roman" w:hAnsi="Times New Roman"/>
          <w:sz w:val="16"/>
          <w:szCs w:val="16"/>
          <w:lang w:val="ro-RO"/>
        </w:rPr>
        <w:t xml:space="preserve"> – </w:t>
      </w:r>
      <w:r w:rsidR="0027290B" w:rsidRPr="004145E5">
        <w:rPr>
          <w:rFonts w:ascii="Times New Roman" w:hAnsi="Times New Roman"/>
          <w:sz w:val="16"/>
          <w:szCs w:val="16"/>
          <w:lang w:val="ro-RO"/>
        </w:rPr>
        <w:t>S.U</w:t>
      </w:r>
      <w:r w:rsidR="003F21A9" w:rsidRPr="004145E5">
        <w:rPr>
          <w:rFonts w:ascii="Times New Roman" w:hAnsi="Times New Roman"/>
          <w:sz w:val="16"/>
          <w:szCs w:val="16"/>
          <w:lang w:val="ro-RO"/>
        </w:rPr>
        <w:t>.-2 ex</w:t>
      </w:r>
    </w:p>
    <w:sectPr w:rsidR="003F21A9" w:rsidRPr="004145E5" w:rsidSect="004145E5">
      <w:headerReference w:type="default" r:id="rId9"/>
      <w:headerReference w:type="first" r:id="rId10"/>
      <w:pgSz w:w="12242" w:h="15842" w:code="1"/>
      <w:pgMar w:top="964" w:right="851" w:bottom="737" w:left="1418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841" w:rsidRDefault="009B1841">
      <w:pPr>
        <w:spacing w:after="0"/>
      </w:pPr>
      <w:r>
        <w:separator/>
      </w:r>
    </w:p>
  </w:endnote>
  <w:endnote w:type="continuationSeparator" w:id="1">
    <w:p w:rsidR="009B1841" w:rsidRDefault="009B18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841" w:rsidRDefault="009B1841">
      <w:pPr>
        <w:spacing w:after="0"/>
      </w:pPr>
      <w:r>
        <w:separator/>
      </w:r>
    </w:p>
  </w:footnote>
  <w:footnote w:type="continuationSeparator" w:id="1">
    <w:p w:rsidR="009B1841" w:rsidRDefault="009B18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1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465"/>
      <w:gridCol w:w="9230"/>
    </w:tblGrid>
    <w:tr w:rsidR="009B1841" w:rsidRPr="0027250B" w:rsidTr="004145E5">
      <w:trPr>
        <w:trHeight w:val="1851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9B1841" w:rsidRPr="007B7F10" w:rsidRDefault="006B0B0E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0;margin-top:.15pt;width:59.95pt;height:87.05pt;z-index:251658752;mso-position-horizontal-relative:page;mso-position-vertical-relative:page" wrapcoords="0 0" filled="f" stroked="f">
                <v:textbox style="mso-next-textbox:#_x0000_s2062">
                  <w:txbxContent>
                    <w:p w:rsidR="009B1841" w:rsidRPr="004145E5" w:rsidRDefault="009B1841" w:rsidP="0087105D">
                      <w:pPr>
                        <w:rPr>
                          <w:noProof/>
                          <w:sz w:val="10"/>
                          <w:szCs w:val="10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573311" cy="1001864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763" cy="1007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9B1841" w:rsidRPr="00C623C7" w:rsidRDefault="009B1841" w:rsidP="00C623C7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9B1841" w:rsidRPr="00C623C7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9B1841" w:rsidRPr="0087105D" w:rsidRDefault="009B1841" w:rsidP="00C623C7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9B1841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URBANISM</w:t>
          </w:r>
        </w:p>
        <w:p w:rsidR="009B1841" w:rsidRPr="001666EC" w:rsidRDefault="009B1841" w:rsidP="00C623C7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COMPARTIMENT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9B1841" w:rsidRPr="00A7667C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9B1841" w:rsidRPr="00C46F4F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9B1841" w:rsidRPr="0027250B" w:rsidRDefault="009B1841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9B1841" w:rsidRPr="004145E5" w:rsidRDefault="009B1841" w:rsidP="004145E5">
    <w:pPr>
      <w:pStyle w:val="Header"/>
      <w:rPr>
        <w:sz w:val="10"/>
        <w:szCs w:val="10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41" w:rsidRDefault="006B0B0E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9B1841" w:rsidRPr="00582267" w:rsidRDefault="009B1841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9B1841" w:rsidRPr="00945905" w:rsidRDefault="009B1841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3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6"/>
  </w:num>
  <w:num w:numId="6">
    <w:abstractNumId w:val="22"/>
  </w:num>
  <w:num w:numId="7">
    <w:abstractNumId w:val="28"/>
  </w:num>
  <w:num w:numId="8">
    <w:abstractNumId w:val="0"/>
  </w:num>
  <w:num w:numId="9">
    <w:abstractNumId w:val="4"/>
  </w:num>
  <w:num w:numId="10">
    <w:abstractNumId w:val="18"/>
  </w:num>
  <w:num w:numId="11">
    <w:abstractNumId w:val="31"/>
  </w:num>
  <w:num w:numId="12">
    <w:abstractNumId w:val="14"/>
  </w:num>
  <w:num w:numId="13">
    <w:abstractNumId w:val="20"/>
  </w:num>
  <w:num w:numId="14">
    <w:abstractNumId w:val="29"/>
  </w:num>
  <w:num w:numId="15">
    <w:abstractNumId w:val="33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6"/>
  </w:num>
  <w:num w:numId="21">
    <w:abstractNumId w:val="32"/>
  </w:num>
  <w:num w:numId="22">
    <w:abstractNumId w:val="10"/>
  </w:num>
  <w:num w:numId="23">
    <w:abstractNumId w:val="30"/>
  </w:num>
  <w:num w:numId="24">
    <w:abstractNumId w:val="15"/>
  </w:num>
  <w:num w:numId="25">
    <w:abstractNumId w:val="3"/>
  </w:num>
  <w:num w:numId="26">
    <w:abstractNumId w:val="25"/>
  </w:num>
  <w:num w:numId="27">
    <w:abstractNumId w:val="7"/>
  </w:num>
  <w:num w:numId="28">
    <w:abstractNumId w:val="1"/>
  </w:num>
  <w:num w:numId="29">
    <w:abstractNumId w:val="11"/>
  </w:num>
  <w:num w:numId="30">
    <w:abstractNumId w:val="27"/>
  </w:num>
  <w:num w:numId="31">
    <w:abstractNumId w:val="24"/>
  </w:num>
  <w:num w:numId="32">
    <w:abstractNumId w:val="8"/>
  </w:num>
  <w:num w:numId="33">
    <w:abstractNumId w:val="1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1DB7"/>
    <w:rsid w:val="000031BE"/>
    <w:rsid w:val="00016050"/>
    <w:rsid w:val="000446FF"/>
    <w:rsid w:val="00073202"/>
    <w:rsid w:val="00080FD6"/>
    <w:rsid w:val="000820E8"/>
    <w:rsid w:val="00083E53"/>
    <w:rsid w:val="000A3489"/>
    <w:rsid w:val="000C4510"/>
    <w:rsid w:val="000C5B2E"/>
    <w:rsid w:val="000D5A51"/>
    <w:rsid w:val="000E0779"/>
    <w:rsid w:val="00136A6C"/>
    <w:rsid w:val="001666EC"/>
    <w:rsid w:val="00187F70"/>
    <w:rsid w:val="001B4E0B"/>
    <w:rsid w:val="001C2FF5"/>
    <w:rsid w:val="001D3EB3"/>
    <w:rsid w:val="001D78BA"/>
    <w:rsid w:val="001E68A6"/>
    <w:rsid w:val="002046FE"/>
    <w:rsid w:val="00214A1F"/>
    <w:rsid w:val="002345A8"/>
    <w:rsid w:val="00252E73"/>
    <w:rsid w:val="002711F1"/>
    <w:rsid w:val="0027250B"/>
    <w:rsid w:val="0027290B"/>
    <w:rsid w:val="002A15F0"/>
    <w:rsid w:val="002B1F9D"/>
    <w:rsid w:val="002D6B6A"/>
    <w:rsid w:val="002E5F03"/>
    <w:rsid w:val="003075C9"/>
    <w:rsid w:val="00307DE1"/>
    <w:rsid w:val="00331D35"/>
    <w:rsid w:val="00336F8B"/>
    <w:rsid w:val="003454F8"/>
    <w:rsid w:val="00346083"/>
    <w:rsid w:val="003477B9"/>
    <w:rsid w:val="0035311D"/>
    <w:rsid w:val="00366182"/>
    <w:rsid w:val="003A6E3E"/>
    <w:rsid w:val="003B587F"/>
    <w:rsid w:val="003C4003"/>
    <w:rsid w:val="003D59AB"/>
    <w:rsid w:val="003E3927"/>
    <w:rsid w:val="003F21A9"/>
    <w:rsid w:val="004145E5"/>
    <w:rsid w:val="004332A1"/>
    <w:rsid w:val="00446445"/>
    <w:rsid w:val="004465AA"/>
    <w:rsid w:val="00450736"/>
    <w:rsid w:val="0045477C"/>
    <w:rsid w:val="00460181"/>
    <w:rsid w:val="0046032A"/>
    <w:rsid w:val="00464E6E"/>
    <w:rsid w:val="004D7E62"/>
    <w:rsid w:val="004F5EF9"/>
    <w:rsid w:val="005112EB"/>
    <w:rsid w:val="00534C07"/>
    <w:rsid w:val="00555A5E"/>
    <w:rsid w:val="0056048C"/>
    <w:rsid w:val="005623EA"/>
    <w:rsid w:val="00571A37"/>
    <w:rsid w:val="00573893"/>
    <w:rsid w:val="005909DE"/>
    <w:rsid w:val="005C1DB7"/>
    <w:rsid w:val="005D0C80"/>
    <w:rsid w:val="005D68CE"/>
    <w:rsid w:val="005E0201"/>
    <w:rsid w:val="005E1711"/>
    <w:rsid w:val="005F4C83"/>
    <w:rsid w:val="006018B8"/>
    <w:rsid w:val="00634CB4"/>
    <w:rsid w:val="0064231F"/>
    <w:rsid w:val="00665F91"/>
    <w:rsid w:val="00666C97"/>
    <w:rsid w:val="00681E2B"/>
    <w:rsid w:val="00690F0E"/>
    <w:rsid w:val="006937C9"/>
    <w:rsid w:val="006B0B0E"/>
    <w:rsid w:val="006B1770"/>
    <w:rsid w:val="006B7560"/>
    <w:rsid w:val="006E5AED"/>
    <w:rsid w:val="006E5F67"/>
    <w:rsid w:val="006F5024"/>
    <w:rsid w:val="00701355"/>
    <w:rsid w:val="007563D1"/>
    <w:rsid w:val="007710E8"/>
    <w:rsid w:val="007A53F0"/>
    <w:rsid w:val="007C58EB"/>
    <w:rsid w:val="007D5140"/>
    <w:rsid w:val="007D77DF"/>
    <w:rsid w:val="007E187E"/>
    <w:rsid w:val="007E3619"/>
    <w:rsid w:val="0080163D"/>
    <w:rsid w:val="00804832"/>
    <w:rsid w:val="0080643F"/>
    <w:rsid w:val="008142BD"/>
    <w:rsid w:val="00831285"/>
    <w:rsid w:val="00835ADD"/>
    <w:rsid w:val="00835CF5"/>
    <w:rsid w:val="0087105D"/>
    <w:rsid w:val="0087690C"/>
    <w:rsid w:val="00893A83"/>
    <w:rsid w:val="008A32A1"/>
    <w:rsid w:val="008A7104"/>
    <w:rsid w:val="008B2334"/>
    <w:rsid w:val="008C697B"/>
    <w:rsid w:val="008D1A3C"/>
    <w:rsid w:val="008E5477"/>
    <w:rsid w:val="008F395B"/>
    <w:rsid w:val="008F6021"/>
    <w:rsid w:val="00900B54"/>
    <w:rsid w:val="009074C0"/>
    <w:rsid w:val="00912634"/>
    <w:rsid w:val="00913A7E"/>
    <w:rsid w:val="0094432B"/>
    <w:rsid w:val="00996A9D"/>
    <w:rsid w:val="009A5105"/>
    <w:rsid w:val="009B1384"/>
    <w:rsid w:val="009B1841"/>
    <w:rsid w:val="009B4195"/>
    <w:rsid w:val="009D3C4D"/>
    <w:rsid w:val="009E7A70"/>
    <w:rsid w:val="009F2DB2"/>
    <w:rsid w:val="00A020F0"/>
    <w:rsid w:val="00A36097"/>
    <w:rsid w:val="00A518EE"/>
    <w:rsid w:val="00A547C8"/>
    <w:rsid w:val="00A73818"/>
    <w:rsid w:val="00A73E51"/>
    <w:rsid w:val="00A7667C"/>
    <w:rsid w:val="00A76E9C"/>
    <w:rsid w:val="00A853AE"/>
    <w:rsid w:val="00A94CF0"/>
    <w:rsid w:val="00AB65C8"/>
    <w:rsid w:val="00AC0786"/>
    <w:rsid w:val="00AD0CBF"/>
    <w:rsid w:val="00AD26AE"/>
    <w:rsid w:val="00AD6115"/>
    <w:rsid w:val="00B034F2"/>
    <w:rsid w:val="00B226BB"/>
    <w:rsid w:val="00B2399F"/>
    <w:rsid w:val="00B268E6"/>
    <w:rsid w:val="00B364DA"/>
    <w:rsid w:val="00B40A57"/>
    <w:rsid w:val="00B64F6E"/>
    <w:rsid w:val="00B779C0"/>
    <w:rsid w:val="00BA4A9B"/>
    <w:rsid w:val="00BB1432"/>
    <w:rsid w:val="00BD2029"/>
    <w:rsid w:val="00BF239D"/>
    <w:rsid w:val="00BF6EBB"/>
    <w:rsid w:val="00C46F4F"/>
    <w:rsid w:val="00C517ED"/>
    <w:rsid w:val="00C623C7"/>
    <w:rsid w:val="00C735A3"/>
    <w:rsid w:val="00C82EC0"/>
    <w:rsid w:val="00C862D7"/>
    <w:rsid w:val="00C953C2"/>
    <w:rsid w:val="00CC2EF6"/>
    <w:rsid w:val="00CD7D69"/>
    <w:rsid w:val="00CE5988"/>
    <w:rsid w:val="00CF7D50"/>
    <w:rsid w:val="00D0470E"/>
    <w:rsid w:val="00D32A0D"/>
    <w:rsid w:val="00D413E7"/>
    <w:rsid w:val="00D46E8E"/>
    <w:rsid w:val="00D510C7"/>
    <w:rsid w:val="00D702F1"/>
    <w:rsid w:val="00D902BF"/>
    <w:rsid w:val="00D938E3"/>
    <w:rsid w:val="00DB188D"/>
    <w:rsid w:val="00DD1AAC"/>
    <w:rsid w:val="00DD464C"/>
    <w:rsid w:val="00DD7A12"/>
    <w:rsid w:val="00DE3336"/>
    <w:rsid w:val="00DF67AA"/>
    <w:rsid w:val="00E12A92"/>
    <w:rsid w:val="00E309A2"/>
    <w:rsid w:val="00E60306"/>
    <w:rsid w:val="00E902E8"/>
    <w:rsid w:val="00E9748F"/>
    <w:rsid w:val="00EA593E"/>
    <w:rsid w:val="00EB0548"/>
    <w:rsid w:val="00EC21BB"/>
    <w:rsid w:val="00EE2453"/>
    <w:rsid w:val="00EE6FD6"/>
    <w:rsid w:val="00EF1112"/>
    <w:rsid w:val="00EF30B9"/>
    <w:rsid w:val="00F06C51"/>
    <w:rsid w:val="00F20B19"/>
    <w:rsid w:val="00F26006"/>
    <w:rsid w:val="00F339E0"/>
    <w:rsid w:val="00F36BF7"/>
    <w:rsid w:val="00F4782C"/>
    <w:rsid w:val="00F51AFE"/>
    <w:rsid w:val="00F779C4"/>
    <w:rsid w:val="00F913EB"/>
    <w:rsid w:val="00FA7F8F"/>
    <w:rsid w:val="00FB2F5A"/>
    <w:rsid w:val="00FB58C2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2736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spopa</cp:lastModifiedBy>
  <cp:revision>5</cp:revision>
  <cp:lastPrinted>2017-03-22T13:45:00Z</cp:lastPrinted>
  <dcterms:created xsi:type="dcterms:W3CDTF">2017-04-25T07:23:00Z</dcterms:created>
  <dcterms:modified xsi:type="dcterms:W3CDTF">2017-05-10T05:43:00Z</dcterms:modified>
</cp:coreProperties>
</file>