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205B27">
        <w:rPr>
          <w:b/>
          <w:lang w:val="ro-RO"/>
        </w:rPr>
        <w:t>SC2017-22279/06.09.2017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282B21">
        <w:rPr>
          <w:rFonts w:eastAsia="Calibri"/>
          <w:b/>
          <w:bCs/>
          <w:color w:val="000000"/>
          <w:lang w:eastAsia="ro-RO"/>
        </w:rPr>
        <w:t>str. Felix, nr.23, bl.75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715669" w:rsidRPr="00715669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715669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282B21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Felix, nr.23, bl.75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715669">
      <w:pPr>
        <w:jc w:val="center"/>
      </w:pPr>
    </w:p>
    <w:p w:rsidR="00205B27" w:rsidRDefault="00205B27" w:rsidP="00205B27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205B27" w:rsidRDefault="00205B27" w:rsidP="00205B27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56417"/>
    <w:rsid w:val="001D450B"/>
    <w:rsid w:val="00205B27"/>
    <w:rsid w:val="00276192"/>
    <w:rsid w:val="00282B21"/>
    <w:rsid w:val="003C0302"/>
    <w:rsid w:val="003E2D05"/>
    <w:rsid w:val="00516347"/>
    <w:rsid w:val="0054385C"/>
    <w:rsid w:val="00715669"/>
    <w:rsid w:val="0071599D"/>
    <w:rsid w:val="008D1E28"/>
    <w:rsid w:val="00B6545E"/>
    <w:rsid w:val="00BD5C0A"/>
    <w:rsid w:val="00C20632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2017-09-11T08:38:00Z</dcterms:modified>
</cp:coreProperties>
</file>