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F1" w:rsidRPr="002422E4" w:rsidRDefault="00026AF1" w:rsidP="00026AF1">
      <w:pPr>
        <w:rPr>
          <w:b/>
          <w:sz w:val="22"/>
          <w:szCs w:val="22"/>
        </w:rPr>
      </w:pPr>
      <w:r w:rsidRPr="002422E4">
        <w:rPr>
          <w:b/>
          <w:sz w:val="22"/>
          <w:szCs w:val="22"/>
        </w:rPr>
        <w:t xml:space="preserve">ROMÂNIA                                                                                                         </w:t>
      </w:r>
      <w:r w:rsidR="0079032E" w:rsidRPr="002422E4">
        <w:rPr>
          <w:b/>
          <w:sz w:val="22"/>
          <w:szCs w:val="22"/>
        </w:rPr>
        <w:t xml:space="preserve">   </w:t>
      </w:r>
      <w:r w:rsidRPr="002422E4">
        <w:rPr>
          <w:b/>
          <w:sz w:val="22"/>
          <w:szCs w:val="22"/>
        </w:rPr>
        <w:t xml:space="preserve">  </w:t>
      </w:r>
      <w:r w:rsidR="006C0FD2">
        <w:rPr>
          <w:b/>
          <w:sz w:val="22"/>
          <w:szCs w:val="22"/>
        </w:rPr>
        <w:t xml:space="preserve">                   </w:t>
      </w:r>
      <w:r w:rsidRPr="002422E4">
        <w:rPr>
          <w:b/>
          <w:sz w:val="22"/>
          <w:szCs w:val="22"/>
        </w:rPr>
        <w:t xml:space="preserve"> </w:t>
      </w:r>
      <w:r w:rsidR="006C0FD2">
        <w:rPr>
          <w:b/>
          <w:sz w:val="22"/>
          <w:szCs w:val="22"/>
        </w:rPr>
        <w:t xml:space="preserve">     </w:t>
      </w:r>
      <w:r w:rsidR="004430C4">
        <w:rPr>
          <w:b/>
          <w:sz w:val="22"/>
          <w:szCs w:val="22"/>
        </w:rPr>
        <w:t xml:space="preserve">   </w:t>
      </w:r>
      <w:r w:rsidRPr="002422E4">
        <w:rPr>
          <w:b/>
          <w:sz w:val="22"/>
          <w:szCs w:val="22"/>
        </w:rPr>
        <w:t>APROBAT</w:t>
      </w:r>
    </w:p>
    <w:p w:rsidR="00026AF1" w:rsidRPr="002422E4" w:rsidRDefault="00026AF1" w:rsidP="00026AF1">
      <w:pPr>
        <w:rPr>
          <w:b/>
          <w:sz w:val="22"/>
          <w:szCs w:val="22"/>
        </w:rPr>
      </w:pPr>
      <w:r w:rsidRPr="002422E4">
        <w:rPr>
          <w:b/>
          <w:sz w:val="22"/>
          <w:szCs w:val="22"/>
        </w:rPr>
        <w:t xml:space="preserve">MUNICIPIUL TIMIŞOARA                                                                             </w:t>
      </w:r>
      <w:r w:rsidR="0079032E" w:rsidRPr="002422E4">
        <w:rPr>
          <w:b/>
          <w:sz w:val="22"/>
          <w:szCs w:val="22"/>
        </w:rPr>
        <w:t xml:space="preserve">   </w:t>
      </w:r>
      <w:r w:rsidRPr="002422E4">
        <w:rPr>
          <w:b/>
          <w:sz w:val="22"/>
          <w:szCs w:val="22"/>
        </w:rPr>
        <w:t xml:space="preserve">  </w:t>
      </w:r>
      <w:r w:rsidR="006C0FD2">
        <w:rPr>
          <w:b/>
          <w:sz w:val="22"/>
          <w:szCs w:val="22"/>
        </w:rPr>
        <w:t xml:space="preserve">                        </w:t>
      </w:r>
      <w:r w:rsidRPr="002422E4">
        <w:rPr>
          <w:b/>
          <w:sz w:val="22"/>
          <w:szCs w:val="22"/>
        </w:rPr>
        <w:t xml:space="preserve"> </w:t>
      </w:r>
      <w:r w:rsidR="004430C4">
        <w:rPr>
          <w:b/>
          <w:sz w:val="22"/>
          <w:szCs w:val="22"/>
        </w:rPr>
        <w:t xml:space="preserve">    </w:t>
      </w:r>
      <w:r w:rsidRPr="002422E4">
        <w:rPr>
          <w:b/>
          <w:sz w:val="22"/>
          <w:szCs w:val="22"/>
        </w:rPr>
        <w:t>PRIMAR</w:t>
      </w:r>
    </w:p>
    <w:p w:rsidR="00364B10" w:rsidRPr="002422E4" w:rsidRDefault="00026AF1" w:rsidP="00364B10">
      <w:pPr>
        <w:rPr>
          <w:b/>
          <w:sz w:val="22"/>
          <w:szCs w:val="22"/>
        </w:rPr>
      </w:pPr>
      <w:r w:rsidRPr="002422E4">
        <w:rPr>
          <w:b/>
          <w:sz w:val="22"/>
          <w:szCs w:val="22"/>
        </w:rPr>
        <w:t>COMPARTIMENTUL REABILITARE TERMICĂ CLĂDIRI</w:t>
      </w:r>
      <w:r w:rsidR="00364B10" w:rsidRPr="002422E4">
        <w:rPr>
          <w:b/>
          <w:sz w:val="22"/>
          <w:szCs w:val="22"/>
        </w:rPr>
        <w:t xml:space="preserve">             </w:t>
      </w:r>
      <w:r w:rsidR="006C0FD2">
        <w:rPr>
          <w:b/>
          <w:sz w:val="22"/>
          <w:szCs w:val="22"/>
        </w:rPr>
        <w:t xml:space="preserve">                             </w:t>
      </w:r>
      <w:r w:rsidR="004430C4">
        <w:rPr>
          <w:b/>
          <w:sz w:val="22"/>
          <w:szCs w:val="22"/>
        </w:rPr>
        <w:t xml:space="preserve">     </w:t>
      </w:r>
      <w:r w:rsidR="006C0FD2">
        <w:rPr>
          <w:b/>
          <w:sz w:val="22"/>
          <w:szCs w:val="22"/>
        </w:rPr>
        <w:t xml:space="preserve"> </w:t>
      </w:r>
      <w:r w:rsidR="00364B10" w:rsidRPr="002422E4">
        <w:rPr>
          <w:b/>
          <w:sz w:val="22"/>
          <w:szCs w:val="22"/>
        </w:rPr>
        <w:t xml:space="preserve">NICOLAE ROBU                                                      </w:t>
      </w:r>
    </w:p>
    <w:p w:rsidR="00026AF1" w:rsidRPr="002422E4" w:rsidRDefault="00026AF1" w:rsidP="00026AF1">
      <w:pPr>
        <w:pBdr>
          <w:bottom w:val="single" w:sz="6" w:space="1" w:color="auto"/>
        </w:pBdr>
        <w:rPr>
          <w:sz w:val="22"/>
          <w:szCs w:val="22"/>
        </w:rPr>
      </w:pPr>
      <w:r w:rsidRPr="002422E4">
        <w:rPr>
          <w:b/>
          <w:sz w:val="22"/>
          <w:szCs w:val="22"/>
        </w:rPr>
        <w:t>Nr. SC201</w:t>
      </w:r>
      <w:r w:rsidR="00364B10" w:rsidRPr="002422E4">
        <w:rPr>
          <w:b/>
          <w:sz w:val="22"/>
          <w:szCs w:val="22"/>
        </w:rPr>
        <w:t>7</w:t>
      </w:r>
      <w:r w:rsidRPr="002422E4">
        <w:rPr>
          <w:b/>
          <w:sz w:val="22"/>
          <w:szCs w:val="22"/>
        </w:rPr>
        <w:t>-</w:t>
      </w:r>
      <w:r w:rsidR="00D32707">
        <w:rPr>
          <w:sz w:val="22"/>
          <w:szCs w:val="22"/>
        </w:rPr>
        <w:t xml:space="preserve">             </w:t>
      </w:r>
    </w:p>
    <w:p w:rsidR="00026AF1" w:rsidRPr="002422E4" w:rsidRDefault="00026AF1" w:rsidP="00026AF1">
      <w:pPr>
        <w:ind w:firstLine="720"/>
        <w:jc w:val="center"/>
        <w:rPr>
          <w:b/>
          <w:sz w:val="22"/>
          <w:szCs w:val="22"/>
        </w:rPr>
      </w:pPr>
    </w:p>
    <w:p w:rsidR="00D32707" w:rsidRDefault="004430C4" w:rsidP="005F4DD8">
      <w:pPr>
        <w:ind w:left="3528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D32707" w:rsidRDefault="00D32707" w:rsidP="005F4DD8">
      <w:pPr>
        <w:ind w:left="3528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026AF1" w:rsidRPr="00B470AF" w:rsidRDefault="00D32707" w:rsidP="005F4DD8">
      <w:pPr>
        <w:ind w:left="3528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4430C4">
        <w:rPr>
          <w:b/>
          <w:sz w:val="22"/>
          <w:szCs w:val="22"/>
        </w:rPr>
        <w:t xml:space="preserve"> </w:t>
      </w:r>
      <w:r w:rsidR="00026AF1" w:rsidRPr="00B470AF">
        <w:rPr>
          <w:b/>
          <w:sz w:val="22"/>
          <w:szCs w:val="22"/>
        </w:rPr>
        <w:t>REFERAT</w:t>
      </w:r>
    </w:p>
    <w:p w:rsidR="00B470AF" w:rsidRPr="00B470AF" w:rsidRDefault="00B470AF" w:rsidP="00B470AF">
      <w:pPr>
        <w:rPr>
          <w:b/>
          <w:bCs/>
          <w:color w:val="000000"/>
          <w:sz w:val="22"/>
          <w:szCs w:val="22"/>
        </w:rPr>
      </w:pP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>privind completarea H.C.L. nr.214/23.11.2012</w:t>
      </w:r>
      <w:r w:rsidRPr="00B470AF"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 xml:space="preserve">        </w:t>
      </w:r>
      <w:r w:rsidRPr="00B470AF">
        <w:rPr>
          <w:b/>
          <w:bCs/>
          <w:color w:val="000000"/>
          <w:sz w:val="22"/>
          <w:szCs w:val="22"/>
        </w:rPr>
        <w:t xml:space="preserve"> privind instituirea Taxei de reabilitare termică şi a mecanismului de recuperare a sumelor avansate de </w:t>
      </w:r>
      <w:r w:rsidRPr="00B470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 xml:space="preserve">Consiliul Local al Municipiului Timişoara, pentru blocurile de locuinţe finanţate prin </w:t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ab/>
        <w:t xml:space="preserve">    </w:t>
      </w:r>
      <w:r w:rsidRPr="00B470AF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B470AF">
        <w:rPr>
          <w:b/>
          <w:bCs/>
          <w:color w:val="000000"/>
          <w:sz w:val="22"/>
          <w:szCs w:val="22"/>
        </w:rPr>
        <w:t xml:space="preserve">  Programul Operaţional Regional 2007-2013</w:t>
      </w:r>
    </w:p>
    <w:p w:rsidR="006C6D73" w:rsidRPr="002422E4" w:rsidRDefault="006C6D73" w:rsidP="006C6D73">
      <w:pPr>
        <w:ind w:firstLine="708"/>
        <w:jc w:val="both"/>
        <w:rPr>
          <w:rStyle w:val="hps"/>
        </w:rPr>
      </w:pPr>
    </w:p>
    <w:p w:rsidR="005E426A" w:rsidRDefault="00873E91" w:rsidP="00562443">
      <w:pPr>
        <w:tabs>
          <w:tab w:val="left" w:pos="851"/>
        </w:tabs>
        <w:jc w:val="both"/>
      </w:pPr>
      <w:r w:rsidRPr="002422E4">
        <w:tab/>
      </w:r>
    </w:p>
    <w:p w:rsidR="005E426A" w:rsidRDefault="005E426A" w:rsidP="005E426A">
      <w:pPr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</w:pPr>
      <w:r>
        <w:rPr>
          <w:sz w:val="22"/>
          <w:szCs w:val="22"/>
        </w:rPr>
        <w:tab/>
      </w:r>
      <w:r w:rsidRPr="005E426A">
        <w:rPr>
          <w:sz w:val="22"/>
          <w:szCs w:val="22"/>
        </w:rPr>
        <w:t>Prin H</w:t>
      </w:r>
      <w:r w:rsidRPr="005E426A">
        <w:rPr>
          <w:rFonts w:eastAsiaTheme="minorHAnsi"/>
          <w:sz w:val="22"/>
          <w:szCs w:val="22"/>
          <w:lang w:eastAsia="en-US"/>
        </w:rPr>
        <w:t xml:space="preserve">otărârea Consiliului Local nr.214/23.11.2012, </w:t>
      </w:r>
      <w:r w:rsidRPr="005E426A">
        <w:rPr>
          <w:sz w:val="22"/>
          <w:szCs w:val="22"/>
        </w:rPr>
        <w:t xml:space="preserve">s-a aprobat </w:t>
      </w:r>
      <w:proofErr w:type="spellStart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>instituirea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color w:val="000000"/>
          <w:sz w:val="22"/>
          <w:szCs w:val="22"/>
          <w:lang w:val="en-US" w:eastAsia="en-US"/>
        </w:rPr>
        <w:t>Taxei</w:t>
      </w:r>
      <w:proofErr w:type="spellEnd"/>
      <w:r w:rsidRPr="005E426A">
        <w:rPr>
          <w:rFonts w:eastAsiaTheme="minorHAnsi"/>
          <w:bCs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5E426A">
        <w:rPr>
          <w:rFonts w:eastAsiaTheme="minorHAnsi"/>
          <w:bCs/>
          <w:color w:val="000000"/>
          <w:sz w:val="22"/>
          <w:szCs w:val="22"/>
          <w:lang w:val="en-US" w:eastAsia="en-US"/>
        </w:rPr>
        <w:t>reabilitare</w:t>
      </w:r>
      <w:proofErr w:type="spellEnd"/>
      <w:r w:rsidRPr="005E426A">
        <w:rPr>
          <w:rFonts w:eastAsiaTheme="minorHAnsi"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color w:val="000000"/>
          <w:sz w:val="22"/>
          <w:szCs w:val="22"/>
          <w:lang w:val="en-US" w:eastAsia="en-US"/>
        </w:rPr>
        <w:t>termică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r w:rsidRPr="005E426A">
        <w:rPr>
          <w:bCs/>
          <w:color w:val="000000"/>
          <w:sz w:val="22"/>
          <w:szCs w:val="22"/>
        </w:rPr>
        <w:t>şi mecanismului de recuperare a sumelor avansate de Consiliul Local al Municipiului Timişoara, pentru blocurile de locuinţe finanţate în cadrul Programul Operaţional Regional 2007-2013</w:t>
      </w:r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>Axa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>proritară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1, </w:t>
      </w:r>
      <w:proofErr w:type="spellStart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>Domeniul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major de </w:t>
      </w:r>
      <w:proofErr w:type="spellStart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>intervenţie</w:t>
      </w:r>
      <w:proofErr w:type="spellEnd"/>
      <w:r w:rsidRPr="005E426A">
        <w:rPr>
          <w:rFonts w:eastAsiaTheme="minorHAnsi"/>
          <w:color w:val="000000"/>
          <w:sz w:val="22"/>
          <w:szCs w:val="22"/>
          <w:lang w:val="en-US" w:eastAsia="en-US"/>
        </w:rPr>
        <w:t xml:space="preserve"> 1.2 - 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Sprijinirea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investiţiilor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în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eficienţa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energetică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blocurilor</w:t>
      </w:r>
      <w:proofErr w:type="spellEnd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5E426A"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locuinţe</w:t>
      </w:r>
      <w:proofErr w:type="spellEnd"/>
      <w:r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  <w:t>.</w:t>
      </w:r>
    </w:p>
    <w:p w:rsidR="005E426A" w:rsidRDefault="005E426A" w:rsidP="005E426A">
      <w:pPr>
        <w:rPr>
          <w:rFonts w:eastAsiaTheme="minorHAnsi"/>
          <w:bCs/>
          <w:i/>
          <w:iCs/>
          <w:color w:val="000000"/>
          <w:sz w:val="22"/>
          <w:szCs w:val="22"/>
          <w:lang w:val="en-US" w:eastAsia="en-US"/>
        </w:rPr>
      </w:pPr>
    </w:p>
    <w:p w:rsidR="005E426A" w:rsidRPr="002422E4" w:rsidRDefault="005E426A" w:rsidP="005E426A">
      <w:pPr>
        <w:pStyle w:val="Normal1"/>
        <w:spacing w:before="0" w:after="0"/>
        <w:rPr>
          <w:rFonts w:ascii="Times New Roman" w:hAnsi="Times New Roman"/>
          <w:bCs/>
          <w:sz w:val="22"/>
          <w:szCs w:val="22"/>
        </w:rPr>
      </w:pP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Una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din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condițiile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eligibilitate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a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proiectelor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finanțate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în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cadrul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POR 2007-2013, a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fost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>obligativitatea</w:t>
      </w:r>
      <w:proofErr w:type="spellEnd"/>
      <w:r w:rsidRPr="005E426A">
        <w:rPr>
          <w:rFonts w:ascii="Times New Roman" w:eastAsiaTheme="minorHAnsi" w:hAnsi="Times New Roman"/>
          <w:bCs/>
          <w:iCs/>
          <w:color w:val="000000"/>
          <w:sz w:val="22"/>
          <w:szCs w:val="22"/>
          <w:lang w:val="en-US"/>
        </w:rPr>
        <w:t xml:space="preserve">  </w:t>
      </w:r>
      <w:r w:rsidRPr="005E426A">
        <w:rPr>
          <w:rFonts w:ascii="Times New Roman" w:hAnsi="Times New Roman"/>
          <w:bCs/>
          <w:sz w:val="22"/>
          <w:szCs w:val="22"/>
        </w:rPr>
        <w:t xml:space="preserve">asigurări de către solicitant, a resurselor financiare pentru acoperirea tuturor cheltuielilor aferente componentelor ce </w:t>
      </w:r>
      <w:r>
        <w:rPr>
          <w:rFonts w:ascii="Times New Roman" w:hAnsi="Times New Roman"/>
          <w:bCs/>
          <w:sz w:val="22"/>
          <w:szCs w:val="22"/>
        </w:rPr>
        <w:t>au compus</w:t>
      </w:r>
      <w:r w:rsidRPr="002422E4">
        <w:rPr>
          <w:rFonts w:ascii="Times New Roman" w:hAnsi="Times New Roman"/>
          <w:bCs/>
          <w:sz w:val="22"/>
          <w:szCs w:val="22"/>
        </w:rPr>
        <w:t xml:space="preserve"> cerer</w:t>
      </w:r>
      <w:r>
        <w:rPr>
          <w:rFonts w:ascii="Times New Roman" w:hAnsi="Times New Roman"/>
          <w:bCs/>
          <w:sz w:val="22"/>
          <w:szCs w:val="22"/>
        </w:rPr>
        <w:t>ile</w:t>
      </w:r>
      <w:r w:rsidRPr="002422E4">
        <w:rPr>
          <w:rFonts w:ascii="Times New Roman" w:hAnsi="Times New Roman"/>
          <w:bCs/>
          <w:sz w:val="22"/>
          <w:szCs w:val="22"/>
        </w:rPr>
        <w:t xml:space="preserve"> de finanţare (cheltuieli eligibile şi neeligibile), în condiţiile rambursării a maxim 60% din cheltuielile eligibile din FEDR şi de la bugetul de stat, respectiv recuperării ulterioare a cotei-părţi ce revine fiecărei asociaţii de proprietari din valoarea componentei respective (cheltuieli eligibile şi neeligibile).</w:t>
      </w:r>
    </w:p>
    <w:p w:rsidR="005E426A" w:rsidRPr="005E426A" w:rsidRDefault="005E426A" w:rsidP="005E426A">
      <w:pP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</w:pPr>
    </w:p>
    <w:p w:rsidR="005E426A" w:rsidRPr="005E426A" w:rsidRDefault="005E426A" w:rsidP="000A4FF4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Urmare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faptului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că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începând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cu data de 02.11.2016, s-a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finalizat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implemetarea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proiectelor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finanțate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în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cadrul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POR 2007-2013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și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că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>sumele</w:t>
      </w:r>
      <w:proofErr w:type="spellEnd"/>
      <w:r>
        <w:rPr>
          <w:rFonts w:eastAsiaTheme="minorHAnsi"/>
          <w:bCs/>
          <w:iCs/>
          <w:color w:val="000000"/>
          <w:sz w:val="22"/>
          <w:szCs w:val="22"/>
          <w:lang w:val="en-US" w:eastAsia="en-US"/>
        </w:rPr>
        <w:t xml:space="preserve"> </w:t>
      </w:r>
      <w:r w:rsidRPr="002422E4">
        <w:rPr>
          <w:rFonts w:eastAsiaTheme="minorHAnsi"/>
          <w:sz w:val="22"/>
          <w:szCs w:val="22"/>
          <w:lang w:eastAsia="en-US"/>
        </w:rPr>
        <w:t xml:space="preserve">avansate de către autorităţile administraţiei publice locale </w:t>
      </w:r>
      <w:r>
        <w:rPr>
          <w:rFonts w:eastAsiaTheme="minorHAnsi"/>
          <w:sz w:val="22"/>
          <w:szCs w:val="22"/>
          <w:lang w:eastAsia="en-US"/>
        </w:rPr>
        <w:t xml:space="preserve">a Municipiului Timișoara, </w:t>
      </w:r>
      <w:r w:rsidRPr="002422E4">
        <w:rPr>
          <w:rFonts w:eastAsiaTheme="minorHAnsi"/>
          <w:sz w:val="22"/>
          <w:szCs w:val="22"/>
          <w:lang w:eastAsia="en-US"/>
        </w:rPr>
        <w:t>pentru asigurarea cotei de contribuţie proprie a proprietarilor/asociaţiilor de proprietari</w:t>
      </w:r>
      <w:r>
        <w:rPr>
          <w:rFonts w:eastAsiaTheme="minorHAnsi"/>
          <w:sz w:val="22"/>
          <w:szCs w:val="22"/>
          <w:lang w:eastAsia="en-US"/>
        </w:rPr>
        <w:t>, nu au fost recuperate, decât parțial, acestea vor fi recuperate, în conformitate cu prevederile art.14 dinOUG nr.18/2009</w:t>
      </w:r>
      <w:r w:rsidRPr="005E426A">
        <w:rPr>
          <w:rFonts w:eastAsiaTheme="minorHAnsi"/>
          <w:sz w:val="22"/>
          <w:szCs w:val="22"/>
          <w:lang w:eastAsia="en-US"/>
        </w:rPr>
        <w:t xml:space="preserve"> </w:t>
      </w:r>
      <w:r w:rsidRPr="002422E4">
        <w:rPr>
          <w:rFonts w:eastAsiaTheme="minorHAnsi"/>
          <w:sz w:val="22"/>
          <w:szCs w:val="22"/>
          <w:lang w:eastAsia="en-US"/>
        </w:rPr>
        <w:t>privind creşterea performanţei energetice a bloc</w:t>
      </w:r>
      <w:r>
        <w:rPr>
          <w:rFonts w:eastAsiaTheme="minorHAnsi"/>
          <w:sz w:val="22"/>
          <w:szCs w:val="22"/>
          <w:lang w:eastAsia="en-US"/>
        </w:rPr>
        <w:t xml:space="preserve">urilor de locuinţe, actualizată, respectiv prin </w:t>
      </w:r>
      <w:r w:rsidRPr="005E426A">
        <w:rPr>
          <w:rFonts w:eastAsiaTheme="minorHAnsi"/>
          <w:b/>
          <w:sz w:val="22"/>
          <w:szCs w:val="22"/>
          <w:u w:val="single"/>
          <w:lang w:eastAsia="en-US"/>
        </w:rPr>
        <w:t>Taxa de reabilitare termică</w:t>
      </w:r>
      <w:r>
        <w:rPr>
          <w:rFonts w:eastAsiaTheme="minorHAnsi"/>
          <w:b/>
          <w:sz w:val="22"/>
          <w:szCs w:val="22"/>
          <w:u w:val="single"/>
          <w:lang w:eastAsia="en-US"/>
        </w:rPr>
        <w:t>,</w:t>
      </w:r>
      <w:r w:rsidRPr="005E426A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5E426A">
        <w:rPr>
          <w:rFonts w:eastAsiaTheme="minorHAnsi"/>
          <w:sz w:val="22"/>
          <w:szCs w:val="22"/>
          <w:lang w:eastAsia="en-US"/>
        </w:rPr>
        <w:t>instituită</w:t>
      </w:r>
      <w:r>
        <w:rPr>
          <w:rFonts w:eastAsiaTheme="minorHAnsi"/>
          <w:sz w:val="22"/>
          <w:szCs w:val="22"/>
          <w:lang w:eastAsia="en-US"/>
        </w:rPr>
        <w:t xml:space="preserve"> și aprobată prin </w:t>
      </w:r>
      <w:r w:rsidRPr="005E426A">
        <w:rPr>
          <w:sz w:val="22"/>
          <w:szCs w:val="22"/>
        </w:rPr>
        <w:t>H</w:t>
      </w:r>
      <w:r w:rsidRPr="005E426A">
        <w:rPr>
          <w:rFonts w:eastAsiaTheme="minorHAnsi"/>
          <w:sz w:val="22"/>
          <w:szCs w:val="22"/>
          <w:lang w:eastAsia="en-US"/>
        </w:rPr>
        <w:t>otărârea Consiliului Local nr.214/23.11.2012</w:t>
      </w:r>
      <w:r>
        <w:rPr>
          <w:rFonts w:eastAsiaTheme="minorHAnsi"/>
          <w:sz w:val="22"/>
          <w:szCs w:val="22"/>
          <w:lang w:eastAsia="en-US"/>
        </w:rPr>
        <w:t xml:space="preserve">, în conformitate cu prevederile art. </w:t>
      </w:r>
      <w:r w:rsidR="002C5524" w:rsidRPr="002422E4">
        <w:rPr>
          <w:rFonts w:eastAsiaTheme="minorHAnsi"/>
          <w:sz w:val="22"/>
          <w:szCs w:val="22"/>
          <w:lang w:eastAsia="en-US"/>
        </w:rPr>
        <w:t>art.14 din O.U.G. nr. 18/2009</w:t>
      </w:r>
      <w:r w:rsidR="002C5524">
        <w:rPr>
          <w:rFonts w:eastAsiaTheme="minorHAnsi"/>
          <w:sz w:val="22"/>
          <w:szCs w:val="22"/>
          <w:lang w:eastAsia="en-US"/>
        </w:rPr>
        <w:t>.</w:t>
      </w:r>
    </w:p>
    <w:p w:rsidR="005E426A" w:rsidRDefault="005E426A" w:rsidP="005E426A">
      <w:pPr>
        <w:rPr>
          <w:bCs/>
          <w:color w:val="000000"/>
          <w:sz w:val="22"/>
          <w:szCs w:val="22"/>
        </w:rPr>
      </w:pPr>
    </w:p>
    <w:p w:rsidR="00900842" w:rsidRPr="002D3AC2" w:rsidRDefault="002C5524" w:rsidP="002D3AC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În vederea fundamentării mecanismului de recuperare</w:t>
      </w:r>
      <w:r>
        <w:rPr>
          <w:rFonts w:eastAsiaTheme="minorHAnsi"/>
          <w:sz w:val="22"/>
          <w:szCs w:val="22"/>
          <w:lang w:eastAsia="en-US"/>
        </w:rPr>
        <w:t xml:space="preserve">, urmărire și executare </w:t>
      </w:r>
      <w:r>
        <w:rPr>
          <w:bCs/>
          <w:color w:val="000000"/>
          <w:sz w:val="22"/>
          <w:szCs w:val="22"/>
        </w:rPr>
        <w:t xml:space="preserve">a </w:t>
      </w:r>
      <w:r w:rsidRPr="002C5524">
        <w:rPr>
          <w:bCs/>
          <w:color w:val="000000"/>
          <w:sz w:val="22"/>
          <w:szCs w:val="22"/>
        </w:rPr>
        <w:t>t</w:t>
      </w:r>
      <w:r w:rsidRPr="002C5524">
        <w:rPr>
          <w:rFonts w:eastAsiaTheme="minorHAnsi"/>
          <w:sz w:val="22"/>
          <w:szCs w:val="22"/>
          <w:lang w:eastAsia="en-US"/>
        </w:rPr>
        <w:t>axei de reabilitare termică</w:t>
      </w:r>
      <w:r>
        <w:rPr>
          <w:rFonts w:eastAsiaTheme="minorHAnsi"/>
          <w:sz w:val="22"/>
          <w:szCs w:val="22"/>
          <w:lang w:eastAsia="en-US"/>
        </w:rPr>
        <w:t>, pr</w:t>
      </w:r>
      <w:r w:rsidR="002D3AC2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 xml:space="preserve">punem </w:t>
      </w:r>
      <w:r w:rsidR="00BF1B5A">
        <w:rPr>
          <w:rFonts w:eastAsiaTheme="minorHAnsi"/>
          <w:sz w:val="22"/>
          <w:szCs w:val="22"/>
          <w:lang w:eastAsia="en-US"/>
        </w:rPr>
        <w:t xml:space="preserve">spre aprobare, </w:t>
      </w:r>
      <w:r>
        <w:rPr>
          <w:rFonts w:eastAsiaTheme="minorHAnsi"/>
          <w:sz w:val="22"/>
          <w:szCs w:val="22"/>
          <w:lang w:eastAsia="en-US"/>
        </w:rPr>
        <w:t xml:space="preserve">completarea </w:t>
      </w:r>
      <w:r w:rsidRPr="005E426A">
        <w:rPr>
          <w:sz w:val="22"/>
          <w:szCs w:val="22"/>
        </w:rPr>
        <w:t>H</w:t>
      </w:r>
      <w:r w:rsidRPr="005E426A">
        <w:rPr>
          <w:rFonts w:eastAsiaTheme="minorHAnsi"/>
          <w:sz w:val="22"/>
          <w:szCs w:val="22"/>
          <w:lang w:eastAsia="en-US"/>
        </w:rPr>
        <w:t>otărâr</w:t>
      </w:r>
      <w:r>
        <w:rPr>
          <w:rFonts w:eastAsiaTheme="minorHAnsi"/>
          <w:sz w:val="22"/>
          <w:szCs w:val="22"/>
          <w:lang w:eastAsia="en-US"/>
        </w:rPr>
        <w:t>ii</w:t>
      </w:r>
      <w:r w:rsidRPr="005E426A">
        <w:rPr>
          <w:rFonts w:eastAsiaTheme="minorHAnsi"/>
          <w:sz w:val="22"/>
          <w:szCs w:val="22"/>
          <w:lang w:eastAsia="en-US"/>
        </w:rPr>
        <w:t xml:space="preserve"> Consiliului Local nr.214/23.11.2012</w:t>
      </w:r>
      <w:r>
        <w:rPr>
          <w:rFonts w:eastAsiaTheme="minorHAnsi"/>
          <w:sz w:val="22"/>
          <w:szCs w:val="22"/>
          <w:lang w:eastAsia="en-US"/>
        </w:rPr>
        <w:t xml:space="preserve"> cu </w:t>
      </w:r>
      <w:r w:rsidR="007A2BA0" w:rsidRPr="006C0FD2">
        <w:rPr>
          <w:rFonts w:eastAsiaTheme="minorHAnsi"/>
          <w:sz w:val="22"/>
          <w:szCs w:val="22"/>
          <w:lang w:eastAsia="en-US"/>
        </w:rPr>
        <w:t>următoarele:</w:t>
      </w:r>
    </w:p>
    <w:p w:rsidR="007A2BA0" w:rsidRPr="006C0FD2" w:rsidRDefault="007A2BA0" w:rsidP="00DD49F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00842" w:rsidRPr="002422E4" w:rsidRDefault="002D3AC2" w:rsidP="00DD49F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1</w:t>
      </w:r>
      <w:r w:rsidR="007A2BA0" w:rsidRPr="002422E4">
        <w:rPr>
          <w:rFonts w:eastAsiaTheme="minorHAnsi"/>
          <w:color w:val="000000"/>
          <w:sz w:val="22"/>
          <w:szCs w:val="22"/>
          <w:lang w:eastAsia="en-US"/>
        </w:rPr>
        <w:t>)</w:t>
      </w:r>
      <w:r w:rsidR="00900842" w:rsidRPr="002422E4">
        <w:rPr>
          <w:rFonts w:eastAsiaTheme="minorHAnsi"/>
          <w:color w:val="000000"/>
          <w:sz w:val="22"/>
          <w:szCs w:val="22"/>
          <w:lang w:eastAsia="en-US"/>
        </w:rPr>
        <w:t>Sumele avansate de către autorităţile administraţiei publice locale pentru finanţarea cotelor-părţi indivize aferente părţilor comune ale imobilelor  se vor recupera de la beneficiari  prin intermediul taxei, in termen de  maxim 10 ani de la da</w:t>
      </w:r>
      <w:r w:rsidR="00BF1B5A">
        <w:rPr>
          <w:rFonts w:eastAsiaTheme="minorHAnsi"/>
          <w:color w:val="000000"/>
          <w:sz w:val="22"/>
          <w:szCs w:val="22"/>
          <w:lang w:eastAsia="en-US"/>
        </w:rPr>
        <w:t>ta receptiei la terminarea lucră</w:t>
      </w:r>
      <w:r w:rsidR="00900842" w:rsidRPr="002422E4">
        <w:rPr>
          <w:rFonts w:eastAsiaTheme="minorHAnsi"/>
          <w:color w:val="000000"/>
          <w:sz w:val="22"/>
          <w:szCs w:val="22"/>
          <w:lang w:eastAsia="en-US"/>
        </w:rPr>
        <w:t>rilor, eșalonarea sumei de recuperat cu titlu de taxă, ce fac obiectul deciziei de impunere, se va face pe o perioadă de 5 ani, începând cu data de întâi ianuarie a anului fiscal următor celui în care se emite decizia de impunere.</w:t>
      </w:r>
    </w:p>
    <w:p w:rsidR="007A2BA0" w:rsidRPr="002422E4" w:rsidRDefault="007A2BA0" w:rsidP="007A2BA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bCs/>
          <w:color w:val="000000"/>
          <w:sz w:val="22"/>
          <w:szCs w:val="22"/>
          <w:lang w:eastAsia="en-US"/>
        </w:rPr>
        <w:t>3)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Taxa se achită anual in 2 rate egale, până la datele de 31 martie și 30 septembrie, ale fiecărui an fiscal.</w:t>
      </w:r>
    </w:p>
    <w:p w:rsidR="007A2BA0" w:rsidRPr="002422E4" w:rsidRDefault="007A2BA0" w:rsidP="007A2BA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bCs/>
          <w:color w:val="000000"/>
          <w:sz w:val="22"/>
          <w:szCs w:val="22"/>
          <w:lang w:eastAsia="en-US"/>
        </w:rPr>
        <w:t>4)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Decizia de impunere prin care se stabilește taxa, devine executorie în condițiile legii, la expirarea fiecărui termen de plată prevăzut în cuprinsul acesteia. </w:t>
      </w:r>
    </w:p>
    <w:p w:rsidR="007A2BA0" w:rsidRPr="002422E4" w:rsidRDefault="007A2BA0" w:rsidP="007A2BA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bCs/>
          <w:color w:val="000000"/>
          <w:sz w:val="22"/>
          <w:szCs w:val="22"/>
          <w:lang w:eastAsia="en-US"/>
        </w:rPr>
        <w:t xml:space="preserve">5)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>Taxa se urmărește și se execută în condițiile Legii nr. 207/2015 privind Codul de procedură fiscală.</w:t>
      </w:r>
    </w:p>
    <w:p w:rsidR="002422E4" w:rsidRPr="002422E4" w:rsidRDefault="002422E4" w:rsidP="002422E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6) Cuantumul taxei va fi fundamentat printr-un referat întocmit de către compartimentul de specialitate din cadrul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aparatului propriu al Primarului, cu atribuții </w:t>
      </w:r>
      <w:r>
        <w:rPr>
          <w:rFonts w:eastAsiaTheme="minorHAnsi"/>
          <w:color w:val="000000"/>
          <w:sz w:val="22"/>
          <w:szCs w:val="22"/>
          <w:lang w:eastAsia="en-US"/>
        </w:rPr>
        <w:t>î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n implementarea programului, în funcție de:  </w:t>
      </w:r>
    </w:p>
    <w:p w:rsidR="002422E4" w:rsidRPr="002422E4" w:rsidRDefault="002422E4" w:rsidP="002422E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sumele avansate de către autorităţile locale pentru asigurarea cotei de contribuţie aferente proprietarilor;</w:t>
      </w:r>
    </w:p>
    <w:p w:rsidR="002422E4" w:rsidRPr="002422E4" w:rsidRDefault="002422E4" w:rsidP="002422E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cotele-părţii indivize din proprietatea comună aferentă fiecărei proprietăţi individuale;</w:t>
      </w:r>
    </w:p>
    <w:p w:rsidR="002422E4" w:rsidRPr="002422E4" w:rsidRDefault="002422E4" w:rsidP="002422E4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dupa caz si in  baza documentelor si a constatărilor proprii ale acestui compartiment. </w:t>
      </w:r>
    </w:p>
    <w:p w:rsidR="002422E4" w:rsidRPr="002422E4" w:rsidRDefault="002422E4" w:rsidP="002422E4">
      <w:pPr>
        <w:autoSpaceDE w:val="0"/>
        <w:autoSpaceDN w:val="0"/>
        <w:adjustRightInd w:val="0"/>
        <w:ind w:left="142" w:hanging="142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7)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Dacă imobilul, proprietate individuala, finanțat prin </w:t>
      </w:r>
      <w:r w:rsidR="00BF1B5A">
        <w:rPr>
          <w:rFonts w:eastAsiaTheme="minorHAnsi"/>
          <w:color w:val="000000"/>
          <w:sz w:val="22"/>
          <w:szCs w:val="22"/>
          <w:lang w:eastAsia="en-US"/>
        </w:rPr>
        <w:t>POR 2007-2013,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se află în proprietatea comună a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>două sau mai multe persoane se aplică urmatoarele reguli: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în cazul în care cotele-părţi din dreptul de proprietate asupra imobilului sunt determinate, fiecare coproprietar datorează taxa corespunzătoare cotei-părţi deţinute,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în cazul în care cotele-părţi din dreptul de proprietate asupra imobilului nu sunt determinate, cotele-părţi sunt prezumate a fi egale, până la proba contrară. Fiecare dintre coproprietari datorează o taxă egală, rezultată în urma împărţirii taxei datorate pentru întreg imobilul.</w:t>
      </w:r>
    </w:p>
    <w:p w:rsidR="002422E4" w:rsidRPr="002422E4" w:rsidRDefault="002422E4" w:rsidP="002422E4">
      <w:pPr>
        <w:pStyle w:val="ListParagraph"/>
        <w:autoSpaceDE w:val="0"/>
        <w:autoSpaceDN w:val="0"/>
        <w:adjustRightInd w:val="0"/>
        <w:ind w:left="142" w:hanging="142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8) Taxa </w:t>
      </w:r>
      <w:r w:rsidR="000A4FF4">
        <w:rPr>
          <w:rFonts w:eastAsiaTheme="minorHAnsi"/>
          <w:color w:val="000000"/>
          <w:sz w:val="22"/>
          <w:szCs w:val="22"/>
          <w:lang w:eastAsia="en-US"/>
        </w:rPr>
        <w:t xml:space="preserve">de reabilitare termică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se stabilește prin  decizie de impunere emisă de către Direcția Fiscală a Municipiului Timișoara, în baza referatului </w:t>
      </w:r>
      <w:r w:rsidR="000A4FF4">
        <w:rPr>
          <w:rFonts w:eastAsiaTheme="minorHAnsi"/>
          <w:color w:val="000000"/>
          <w:sz w:val="22"/>
          <w:szCs w:val="22"/>
          <w:lang w:eastAsia="en-US"/>
        </w:rPr>
        <w:t xml:space="preserve">întocmit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0A4FF4" w:rsidRPr="000A4FF4">
        <w:rPr>
          <w:color w:val="000000"/>
          <w:sz w:val="22"/>
          <w:szCs w:val="22"/>
        </w:rPr>
        <w:t>de către Compartimentul Eficientizare Energetică Clădiri, cu atribuții in implementarea programului</w:t>
      </w:r>
      <w:r w:rsidR="000A4FF4" w:rsidRPr="000A4FF4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0A4FF4">
        <w:rPr>
          <w:rFonts w:eastAsiaTheme="minorHAnsi"/>
          <w:color w:val="000000"/>
          <w:sz w:val="22"/>
          <w:szCs w:val="22"/>
          <w:lang w:eastAsia="en-US"/>
        </w:rPr>
        <w:t>și va c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>uprinde următoarele elemente: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lastRenderedPageBreak/>
        <w:t>denumirea organului fiscal emitent,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data la care a fost emis şi termenele de plată</w:t>
      </w:r>
      <w:r w:rsidRPr="002422E4">
        <w:rPr>
          <w:rFonts w:ascii="Helv" w:eastAsiaTheme="minorHAnsi" w:hAnsi="Helv" w:cs="Helv"/>
          <w:color w:val="000000"/>
          <w:sz w:val="22"/>
          <w:szCs w:val="22"/>
          <w:lang w:eastAsia="en-US"/>
        </w:rPr>
        <w:t>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datele de identificare a contribuabilului/plătitorului şi, dacă este cazul, datele de identificare a persoanei împuternicite de contribuabil/plătitor,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obiectul actului administrativ fiscal și perioada pentru care a fost stabilită taxa,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motivele de fapt,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temeiul de drept,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numele şi calitatea persoanelor împuternicite ale organului fiscal, potrivit legii,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semnătura persoanelor împuternicite ale organului fiscal, potrivit legii, precum şi ştampila organului fiscal emitent,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" w:eastAsiaTheme="minorHAnsi" w:hAnsi="Helv" w:cs="Helv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posibilitatea de a fi contestat, termenul de depunere a contestaţiei şi organul fiscal la care se depune contestaţia,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2422E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>menţiuni privind audierea contribuabilului/plătitorului.</w:t>
      </w:r>
      <w:r w:rsidRPr="002422E4">
        <w:rPr>
          <w:rFonts w:ascii="Helv" w:eastAsiaTheme="minorHAnsi" w:hAnsi="Helv" w:cs="Helv"/>
          <w:lang w:eastAsia="en-US"/>
        </w:rPr>
        <w:t> </w:t>
      </w:r>
      <w:r w:rsidRPr="002422E4">
        <w:rPr>
          <w:rFonts w:ascii="Helv" w:eastAsiaTheme="minorHAnsi" w:hAnsi="Helv" w:cs="Helv"/>
          <w:lang w:eastAsia="en-US"/>
        </w:rPr>
        <w:t> </w:t>
      </w:r>
    </w:p>
    <w:p w:rsidR="002422E4" w:rsidRPr="002422E4" w:rsidRDefault="002422E4" w:rsidP="007A2BA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bCs/>
          <w:color w:val="000000"/>
          <w:sz w:val="22"/>
          <w:szCs w:val="22"/>
          <w:lang w:eastAsia="en-US"/>
        </w:rPr>
        <w:t xml:space="preserve">  9)</w:t>
      </w:r>
      <w:r w:rsidR="007A2BA0" w:rsidRPr="002422E4">
        <w:rPr>
          <w:rFonts w:eastAsiaTheme="minorHAnsi"/>
          <w:bCs/>
          <w:color w:val="000000"/>
          <w:sz w:val="22"/>
          <w:szCs w:val="22"/>
          <w:lang w:eastAsia="en-US"/>
        </w:rPr>
        <w:t xml:space="preserve">  </w:t>
      </w:r>
      <w:r w:rsidRPr="002422E4">
        <w:rPr>
          <w:rFonts w:eastAsiaTheme="minorHAnsi"/>
          <w:bCs/>
          <w:color w:val="000000"/>
          <w:sz w:val="22"/>
          <w:szCs w:val="22"/>
          <w:lang w:eastAsia="en-US"/>
        </w:rPr>
        <w:t xml:space="preserve">Referitor la neplata taxei și majorări 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>de întârziere:</w:t>
      </w:r>
    </w:p>
    <w:p w:rsidR="007A2BA0" w:rsidRPr="002422E4" w:rsidRDefault="007A2BA0" w:rsidP="002422E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Pentru neplata taxei la termenele scadente se datorează majorări de întârziere. </w:t>
      </w:r>
    </w:p>
    <w:p w:rsidR="007A2BA0" w:rsidRPr="002422E4" w:rsidRDefault="007A2BA0" w:rsidP="007A2BA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Nivelul și modul de calcul al majorărilor de întârzriere sunt cele prevăzute la art. 183 alin.(2) din Legea  nr. 207/2015. </w:t>
      </w:r>
    </w:p>
    <w:p w:rsidR="007A2BA0" w:rsidRPr="002422E4" w:rsidRDefault="002422E4" w:rsidP="007A2BA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422E4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7A2BA0" w:rsidRPr="002422E4">
        <w:rPr>
          <w:rFonts w:eastAsiaTheme="minorHAnsi"/>
          <w:color w:val="000000"/>
          <w:sz w:val="22"/>
          <w:szCs w:val="22"/>
          <w:lang w:eastAsia="en-US"/>
        </w:rPr>
        <w:t>Majorările de întârziere se stabilesc prin decizie de impunere emisă de organul fiscal, prevederile Codului d</w:t>
      </w:r>
      <w:r w:rsidRPr="002422E4">
        <w:rPr>
          <w:rFonts w:eastAsiaTheme="minorHAnsi"/>
          <w:color w:val="000000"/>
          <w:sz w:val="22"/>
          <w:szCs w:val="22"/>
          <w:lang w:eastAsia="en-US"/>
        </w:rPr>
        <w:t>e procedură fiscală în  materie</w:t>
      </w:r>
      <w:r w:rsidR="007A2BA0" w:rsidRPr="002422E4">
        <w:rPr>
          <w:rFonts w:eastAsiaTheme="minorHAnsi"/>
          <w:color w:val="000000"/>
          <w:sz w:val="22"/>
          <w:szCs w:val="22"/>
          <w:lang w:eastAsia="en-US"/>
        </w:rPr>
        <w:t xml:space="preserve"> aplicându-se corespunzător.</w:t>
      </w:r>
    </w:p>
    <w:p w:rsidR="007A2BA0" w:rsidRPr="002422E4" w:rsidRDefault="007A2BA0" w:rsidP="00DD49F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A4FF4" w:rsidRDefault="000A4FF4" w:rsidP="00026AF1">
      <w:pPr>
        <w:tabs>
          <w:tab w:val="left" w:pos="720"/>
        </w:tabs>
        <w:jc w:val="center"/>
        <w:rPr>
          <w:b/>
          <w:sz w:val="22"/>
          <w:szCs w:val="22"/>
        </w:rPr>
      </w:pPr>
    </w:p>
    <w:p w:rsidR="00A352D6" w:rsidRDefault="00A352D6" w:rsidP="00026AF1">
      <w:pPr>
        <w:tabs>
          <w:tab w:val="left" w:pos="720"/>
        </w:tabs>
        <w:jc w:val="center"/>
        <w:rPr>
          <w:b/>
          <w:sz w:val="22"/>
          <w:szCs w:val="22"/>
        </w:rPr>
      </w:pPr>
    </w:p>
    <w:p w:rsidR="000A4FF4" w:rsidRDefault="000A4FF4" w:rsidP="00026AF1">
      <w:pPr>
        <w:tabs>
          <w:tab w:val="left" w:pos="720"/>
        </w:tabs>
        <w:jc w:val="center"/>
        <w:rPr>
          <w:b/>
          <w:sz w:val="22"/>
          <w:szCs w:val="22"/>
        </w:rPr>
      </w:pPr>
    </w:p>
    <w:p w:rsidR="00A352D6" w:rsidRDefault="00A352D6" w:rsidP="00026AF1">
      <w:pPr>
        <w:ind w:firstLine="720"/>
        <w:rPr>
          <w:b/>
          <w:sz w:val="22"/>
          <w:szCs w:val="22"/>
        </w:rPr>
      </w:pPr>
    </w:p>
    <w:p w:rsidR="00A352D6" w:rsidRDefault="00D32707" w:rsidP="00026AF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352D6">
        <w:rPr>
          <w:b/>
          <w:sz w:val="22"/>
          <w:szCs w:val="22"/>
        </w:rPr>
        <w:t xml:space="preserve"> </w:t>
      </w:r>
      <w:r w:rsidR="00894754">
        <w:rPr>
          <w:b/>
          <w:sz w:val="22"/>
          <w:szCs w:val="22"/>
        </w:rPr>
        <w:t xml:space="preserve">        </w:t>
      </w:r>
      <w:r w:rsidR="00A352D6">
        <w:rPr>
          <w:b/>
          <w:sz w:val="22"/>
          <w:szCs w:val="22"/>
        </w:rPr>
        <w:t xml:space="preserve"> </w:t>
      </w:r>
      <w:r w:rsidR="00894754">
        <w:rPr>
          <w:b/>
          <w:sz w:val="22"/>
          <w:szCs w:val="22"/>
        </w:rPr>
        <w:t>VICEPRIMAR</w:t>
      </w:r>
      <w:r w:rsidR="00A352D6">
        <w:rPr>
          <w:b/>
          <w:sz w:val="22"/>
          <w:szCs w:val="22"/>
        </w:rPr>
        <w:tab/>
      </w:r>
      <w:r w:rsidR="00A352D6">
        <w:rPr>
          <w:b/>
          <w:sz w:val="22"/>
          <w:szCs w:val="22"/>
        </w:rPr>
        <w:tab/>
      </w:r>
      <w:r w:rsidR="00A352D6">
        <w:rPr>
          <w:b/>
          <w:sz w:val="22"/>
          <w:szCs w:val="22"/>
        </w:rPr>
        <w:tab/>
      </w:r>
      <w:r w:rsidR="00A352D6">
        <w:rPr>
          <w:b/>
          <w:sz w:val="22"/>
          <w:szCs w:val="22"/>
        </w:rPr>
        <w:tab/>
      </w:r>
      <w:r w:rsidR="00A352D6">
        <w:rPr>
          <w:b/>
          <w:sz w:val="22"/>
          <w:szCs w:val="22"/>
        </w:rPr>
        <w:tab/>
        <w:t xml:space="preserve">            </w:t>
      </w:r>
      <w:r w:rsidR="00894754">
        <w:rPr>
          <w:b/>
          <w:sz w:val="22"/>
          <w:szCs w:val="22"/>
        </w:rPr>
        <w:t xml:space="preserve">                        </w:t>
      </w:r>
      <w:r w:rsidR="00A352D6">
        <w:rPr>
          <w:b/>
          <w:sz w:val="22"/>
          <w:szCs w:val="22"/>
        </w:rPr>
        <w:t xml:space="preserve">  </w:t>
      </w:r>
    </w:p>
    <w:p w:rsidR="00A352D6" w:rsidRPr="006C0FD2" w:rsidRDefault="00A352D6" w:rsidP="00026AF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D3270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894754">
        <w:rPr>
          <w:b/>
          <w:sz w:val="22"/>
          <w:szCs w:val="22"/>
        </w:rPr>
        <w:t xml:space="preserve">IMRE FARKAS  </w:t>
      </w:r>
      <w:r>
        <w:rPr>
          <w:b/>
          <w:sz w:val="22"/>
          <w:szCs w:val="22"/>
        </w:rPr>
        <w:t xml:space="preserve">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894754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</w:t>
      </w:r>
    </w:p>
    <w:p w:rsidR="00364B10" w:rsidRPr="006C0FD2" w:rsidRDefault="00364B10" w:rsidP="00026AF1">
      <w:pPr>
        <w:ind w:firstLine="720"/>
        <w:rPr>
          <w:b/>
          <w:sz w:val="22"/>
          <w:szCs w:val="22"/>
        </w:rPr>
      </w:pPr>
    </w:p>
    <w:p w:rsidR="00364B10" w:rsidRDefault="00364B10" w:rsidP="00026AF1">
      <w:pPr>
        <w:ind w:firstLine="720"/>
        <w:rPr>
          <w:b/>
          <w:sz w:val="22"/>
          <w:szCs w:val="22"/>
        </w:rPr>
      </w:pPr>
    </w:p>
    <w:p w:rsidR="00A352D6" w:rsidRDefault="00A352D6" w:rsidP="00026AF1">
      <w:pPr>
        <w:ind w:firstLine="720"/>
        <w:rPr>
          <w:b/>
          <w:sz w:val="22"/>
          <w:szCs w:val="22"/>
        </w:rPr>
      </w:pPr>
    </w:p>
    <w:p w:rsidR="00A352D6" w:rsidRPr="006C0FD2" w:rsidRDefault="00A352D6" w:rsidP="00026AF1">
      <w:pPr>
        <w:ind w:firstLine="720"/>
        <w:rPr>
          <w:b/>
          <w:sz w:val="22"/>
          <w:szCs w:val="22"/>
        </w:rPr>
      </w:pPr>
    </w:p>
    <w:p w:rsidR="00101FAC" w:rsidRPr="006C0FD2" w:rsidRDefault="00101FAC" w:rsidP="00026AF1">
      <w:pPr>
        <w:ind w:firstLine="720"/>
        <w:rPr>
          <w:b/>
          <w:sz w:val="22"/>
          <w:szCs w:val="22"/>
        </w:rPr>
      </w:pPr>
    </w:p>
    <w:p w:rsidR="005F4DD8" w:rsidRDefault="005F4DD8" w:rsidP="00026AF1">
      <w:pPr>
        <w:ind w:firstLine="720"/>
        <w:rPr>
          <w:b/>
          <w:sz w:val="22"/>
          <w:szCs w:val="22"/>
        </w:rPr>
      </w:pPr>
    </w:p>
    <w:p w:rsidR="00026AF1" w:rsidRPr="006C0FD2" w:rsidRDefault="00026AF1" w:rsidP="00026AF1">
      <w:pPr>
        <w:ind w:firstLine="720"/>
        <w:rPr>
          <w:b/>
          <w:sz w:val="22"/>
          <w:szCs w:val="22"/>
        </w:rPr>
      </w:pPr>
      <w:r w:rsidRPr="006C0FD2">
        <w:rPr>
          <w:b/>
          <w:sz w:val="22"/>
          <w:szCs w:val="22"/>
        </w:rPr>
        <w:t xml:space="preserve">DIRECTOR DIRECŢIA ECONOMICĂ         </w:t>
      </w:r>
      <w:r w:rsidR="00B13F1B" w:rsidRPr="006C0FD2">
        <w:rPr>
          <w:b/>
          <w:sz w:val="22"/>
          <w:szCs w:val="22"/>
        </w:rPr>
        <w:t xml:space="preserve"> </w:t>
      </w:r>
      <w:r w:rsidRPr="006C0FD2">
        <w:rPr>
          <w:b/>
          <w:sz w:val="22"/>
          <w:szCs w:val="22"/>
        </w:rPr>
        <w:t xml:space="preserve">        </w:t>
      </w:r>
      <w:r w:rsidR="006C0FD2">
        <w:rPr>
          <w:b/>
          <w:sz w:val="22"/>
          <w:szCs w:val="22"/>
        </w:rPr>
        <w:t xml:space="preserve">         </w:t>
      </w:r>
      <w:r w:rsidR="005F4DD8">
        <w:rPr>
          <w:b/>
          <w:sz w:val="22"/>
          <w:szCs w:val="22"/>
        </w:rPr>
        <w:t xml:space="preserve">   </w:t>
      </w:r>
      <w:r w:rsidR="00A352D6">
        <w:rPr>
          <w:b/>
          <w:sz w:val="22"/>
          <w:szCs w:val="22"/>
        </w:rPr>
        <w:t xml:space="preserve">  </w:t>
      </w:r>
      <w:r w:rsidR="005F4DD8">
        <w:rPr>
          <w:b/>
          <w:sz w:val="22"/>
          <w:szCs w:val="22"/>
        </w:rPr>
        <w:t xml:space="preserve">   </w:t>
      </w:r>
      <w:r w:rsidR="006C0FD2">
        <w:rPr>
          <w:b/>
          <w:sz w:val="22"/>
          <w:szCs w:val="22"/>
        </w:rPr>
        <w:t xml:space="preserve"> </w:t>
      </w:r>
      <w:r w:rsidRPr="006C0FD2">
        <w:rPr>
          <w:b/>
          <w:sz w:val="22"/>
          <w:szCs w:val="22"/>
        </w:rPr>
        <w:t xml:space="preserve">DIRECTOR DIRECŢIA </w:t>
      </w:r>
      <w:r w:rsidR="008D606E" w:rsidRPr="006C0FD2">
        <w:rPr>
          <w:b/>
          <w:sz w:val="22"/>
          <w:szCs w:val="22"/>
        </w:rPr>
        <w:t>FISCALĂ</w:t>
      </w:r>
    </w:p>
    <w:p w:rsidR="00026AF1" w:rsidRPr="006C0FD2" w:rsidRDefault="00026AF1" w:rsidP="00026AF1">
      <w:pPr>
        <w:ind w:firstLine="720"/>
        <w:rPr>
          <w:b/>
          <w:sz w:val="22"/>
          <w:szCs w:val="22"/>
        </w:rPr>
      </w:pPr>
      <w:r w:rsidRPr="006C0FD2">
        <w:rPr>
          <w:b/>
          <w:sz w:val="22"/>
          <w:szCs w:val="22"/>
        </w:rPr>
        <w:t xml:space="preserve">         </w:t>
      </w:r>
      <w:r w:rsidR="00364B10" w:rsidRPr="006C0FD2">
        <w:rPr>
          <w:b/>
          <w:sz w:val="22"/>
          <w:szCs w:val="22"/>
        </w:rPr>
        <w:t>STELIANA STANCIU</w:t>
      </w:r>
      <w:r w:rsidRPr="006C0FD2">
        <w:rPr>
          <w:b/>
          <w:sz w:val="22"/>
          <w:szCs w:val="22"/>
        </w:rPr>
        <w:t xml:space="preserve">                                               </w:t>
      </w:r>
      <w:r w:rsidR="006C0FD2">
        <w:rPr>
          <w:b/>
          <w:sz w:val="22"/>
          <w:szCs w:val="22"/>
        </w:rPr>
        <w:t xml:space="preserve">                </w:t>
      </w:r>
      <w:r w:rsidR="005F4DD8">
        <w:rPr>
          <w:b/>
          <w:sz w:val="22"/>
          <w:szCs w:val="22"/>
        </w:rPr>
        <w:t xml:space="preserve">       </w:t>
      </w:r>
      <w:r w:rsidR="00A352D6">
        <w:rPr>
          <w:b/>
          <w:sz w:val="22"/>
          <w:szCs w:val="22"/>
        </w:rPr>
        <w:t xml:space="preserve">   </w:t>
      </w:r>
      <w:r w:rsidR="008D606E" w:rsidRPr="006C0FD2">
        <w:rPr>
          <w:b/>
          <w:sz w:val="22"/>
          <w:szCs w:val="22"/>
        </w:rPr>
        <w:t>ADRIAN BODO</w:t>
      </w:r>
    </w:p>
    <w:p w:rsidR="00026AF1" w:rsidRPr="006C0FD2" w:rsidRDefault="00026AF1" w:rsidP="00026AF1">
      <w:pPr>
        <w:ind w:firstLine="720"/>
        <w:rPr>
          <w:b/>
          <w:sz w:val="22"/>
          <w:szCs w:val="22"/>
        </w:rPr>
      </w:pPr>
    </w:p>
    <w:p w:rsidR="00026AF1" w:rsidRPr="006C0FD2" w:rsidRDefault="00026AF1" w:rsidP="00026AF1">
      <w:pPr>
        <w:ind w:firstLine="720"/>
        <w:rPr>
          <w:b/>
          <w:sz w:val="22"/>
          <w:szCs w:val="22"/>
        </w:rPr>
      </w:pPr>
    </w:p>
    <w:p w:rsidR="00026AF1" w:rsidRPr="006C0FD2" w:rsidRDefault="00026AF1" w:rsidP="00026AF1">
      <w:pPr>
        <w:ind w:firstLine="720"/>
        <w:rPr>
          <w:b/>
          <w:sz w:val="22"/>
          <w:szCs w:val="22"/>
        </w:rPr>
      </w:pPr>
    </w:p>
    <w:p w:rsidR="00873E91" w:rsidRDefault="00873E91" w:rsidP="00026AF1">
      <w:pPr>
        <w:ind w:firstLine="720"/>
        <w:rPr>
          <w:b/>
          <w:sz w:val="22"/>
          <w:szCs w:val="22"/>
        </w:rPr>
      </w:pPr>
    </w:p>
    <w:p w:rsidR="000A4FF4" w:rsidRPr="006C0FD2" w:rsidRDefault="000A4FF4" w:rsidP="00026AF1">
      <w:pPr>
        <w:ind w:firstLine="720"/>
        <w:rPr>
          <w:b/>
          <w:sz w:val="22"/>
          <w:szCs w:val="22"/>
        </w:rPr>
      </w:pPr>
    </w:p>
    <w:p w:rsidR="00873E91" w:rsidRPr="006C0FD2" w:rsidRDefault="00873E91" w:rsidP="00026AF1">
      <w:pPr>
        <w:ind w:firstLine="720"/>
        <w:rPr>
          <w:b/>
          <w:sz w:val="22"/>
          <w:szCs w:val="22"/>
        </w:rPr>
      </w:pPr>
    </w:p>
    <w:p w:rsidR="00026AF1" w:rsidRPr="006C0FD2" w:rsidRDefault="002625AA" w:rsidP="00364B10">
      <w:pPr>
        <w:rPr>
          <w:b/>
          <w:sz w:val="22"/>
          <w:szCs w:val="22"/>
        </w:rPr>
      </w:pPr>
      <w:r w:rsidRPr="006C0FD2">
        <w:rPr>
          <w:b/>
          <w:sz w:val="22"/>
          <w:szCs w:val="22"/>
        </w:rPr>
        <w:t xml:space="preserve">           </w:t>
      </w:r>
      <w:r w:rsidR="00026AF1" w:rsidRPr="006C0FD2">
        <w:rPr>
          <w:b/>
          <w:sz w:val="22"/>
          <w:szCs w:val="22"/>
        </w:rPr>
        <w:t xml:space="preserve"> </w:t>
      </w:r>
    </w:p>
    <w:p w:rsidR="00026AF1" w:rsidRPr="006C0FD2" w:rsidRDefault="00490739" w:rsidP="00490739">
      <w:pPr>
        <w:rPr>
          <w:sz w:val="22"/>
          <w:szCs w:val="22"/>
        </w:rPr>
      </w:pPr>
      <w:r w:rsidRPr="006C0FD2">
        <w:rPr>
          <w:b/>
          <w:sz w:val="22"/>
          <w:szCs w:val="22"/>
        </w:rPr>
        <w:t xml:space="preserve">                       SERVICIUL JURIDIC                                                      </w:t>
      </w:r>
      <w:r w:rsidR="00BD7A7D" w:rsidRPr="006C0FD2">
        <w:rPr>
          <w:b/>
          <w:sz w:val="22"/>
          <w:szCs w:val="22"/>
        </w:rPr>
        <w:t xml:space="preserve"> </w:t>
      </w:r>
      <w:r w:rsidR="00E56106" w:rsidRPr="006C0FD2">
        <w:rPr>
          <w:b/>
          <w:sz w:val="22"/>
          <w:szCs w:val="22"/>
        </w:rPr>
        <w:t xml:space="preserve"> </w:t>
      </w:r>
      <w:r w:rsidR="006C0FD2">
        <w:rPr>
          <w:b/>
          <w:sz w:val="22"/>
          <w:szCs w:val="22"/>
        </w:rPr>
        <w:t xml:space="preserve">             </w:t>
      </w:r>
      <w:r w:rsidR="005F4DD8">
        <w:rPr>
          <w:b/>
          <w:sz w:val="22"/>
          <w:szCs w:val="22"/>
        </w:rPr>
        <w:t xml:space="preserve">     </w:t>
      </w:r>
      <w:r w:rsidR="006C0FD2">
        <w:rPr>
          <w:b/>
          <w:sz w:val="22"/>
          <w:szCs w:val="22"/>
        </w:rPr>
        <w:t xml:space="preserve"> </w:t>
      </w:r>
      <w:r w:rsidR="005F4DD8">
        <w:rPr>
          <w:b/>
          <w:sz w:val="22"/>
          <w:szCs w:val="22"/>
        </w:rPr>
        <w:t xml:space="preserve">  </w:t>
      </w:r>
      <w:r w:rsidR="006C0FD2">
        <w:rPr>
          <w:b/>
          <w:sz w:val="22"/>
          <w:szCs w:val="22"/>
        </w:rPr>
        <w:t xml:space="preserve"> </w:t>
      </w:r>
      <w:r w:rsidR="002625AA" w:rsidRPr="006C0FD2">
        <w:rPr>
          <w:b/>
          <w:sz w:val="22"/>
          <w:szCs w:val="22"/>
        </w:rPr>
        <w:t>CONSILIER</w:t>
      </w:r>
    </w:p>
    <w:p w:rsidR="00026AF1" w:rsidRDefault="002625AA" w:rsidP="00026AF1">
      <w:pPr>
        <w:rPr>
          <w:b/>
          <w:sz w:val="22"/>
          <w:szCs w:val="22"/>
        </w:rPr>
      </w:pP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</w:r>
      <w:r w:rsidRPr="006C0FD2">
        <w:rPr>
          <w:sz w:val="22"/>
          <w:szCs w:val="22"/>
        </w:rPr>
        <w:tab/>
        <w:t xml:space="preserve">                     </w:t>
      </w:r>
      <w:r w:rsidR="00C53D87" w:rsidRPr="006C0FD2">
        <w:rPr>
          <w:sz w:val="22"/>
          <w:szCs w:val="22"/>
        </w:rPr>
        <w:t xml:space="preserve">  </w:t>
      </w:r>
      <w:r w:rsidR="006C0FD2">
        <w:rPr>
          <w:sz w:val="22"/>
          <w:szCs w:val="22"/>
        </w:rPr>
        <w:t xml:space="preserve">    </w:t>
      </w:r>
      <w:r w:rsidRPr="006C0FD2">
        <w:rPr>
          <w:sz w:val="22"/>
          <w:szCs w:val="22"/>
        </w:rPr>
        <w:t xml:space="preserve"> </w:t>
      </w:r>
      <w:r w:rsidR="005F4DD8">
        <w:rPr>
          <w:sz w:val="22"/>
          <w:szCs w:val="22"/>
        </w:rPr>
        <w:t xml:space="preserve">       </w:t>
      </w:r>
      <w:r w:rsidRPr="006C0FD2">
        <w:rPr>
          <w:b/>
          <w:sz w:val="22"/>
          <w:szCs w:val="22"/>
        </w:rPr>
        <w:t>ANA GEORGIU</w:t>
      </w:r>
    </w:p>
    <w:p w:rsidR="00DB37DF" w:rsidRDefault="00DB37DF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A4FF4" w:rsidRDefault="000A4FF4" w:rsidP="00026AF1">
      <w:pPr>
        <w:rPr>
          <w:b/>
          <w:sz w:val="22"/>
          <w:szCs w:val="22"/>
        </w:rPr>
      </w:pPr>
    </w:p>
    <w:p w:rsidR="00026AF1" w:rsidRPr="006C0FD2" w:rsidRDefault="000B346D" w:rsidP="00026AF1">
      <w:pPr>
        <w:rPr>
          <w:sz w:val="18"/>
          <w:szCs w:val="18"/>
        </w:rPr>
      </w:pPr>
      <w:r w:rsidRPr="006C0FD2">
        <w:rPr>
          <w:sz w:val="18"/>
          <w:szCs w:val="18"/>
        </w:rPr>
        <w:t xml:space="preserve">Red/Dac A.G.                                                                                                                                                        </w:t>
      </w:r>
    </w:p>
    <w:p w:rsidR="0055091B" w:rsidRPr="006C0FD2" w:rsidRDefault="000B346D">
      <w:pPr>
        <w:rPr>
          <w:sz w:val="18"/>
          <w:szCs w:val="18"/>
        </w:rPr>
      </w:pPr>
      <w:r w:rsidRPr="006C0FD2">
        <w:rPr>
          <w:sz w:val="18"/>
          <w:szCs w:val="18"/>
        </w:rPr>
        <w:t>Ex.1</w:t>
      </w:r>
    </w:p>
    <w:sectPr w:rsidR="0055091B" w:rsidRPr="006C0FD2" w:rsidSect="00D32707">
      <w:footerReference w:type="default" r:id="rId7"/>
      <w:pgSz w:w="11906" w:h="16838"/>
      <w:pgMar w:top="851" w:right="566" w:bottom="284" w:left="709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60" w:rsidRDefault="00793660" w:rsidP="00873E91">
      <w:r>
        <w:separator/>
      </w:r>
    </w:p>
  </w:endnote>
  <w:endnote w:type="continuationSeparator" w:id="0">
    <w:p w:rsidR="00793660" w:rsidRDefault="00793660" w:rsidP="0087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7167"/>
      <w:docPartObj>
        <w:docPartGallery w:val="Page Numbers (Bottom of Page)"/>
        <w:docPartUnique/>
      </w:docPartObj>
    </w:sdtPr>
    <w:sdtContent>
      <w:p w:rsidR="006C0FD2" w:rsidRDefault="007B03C6">
        <w:pPr>
          <w:pStyle w:val="Footer"/>
          <w:jc w:val="center"/>
        </w:pPr>
        <w:fldSimple w:instr=" PAGE   \* MERGEFORMAT ">
          <w:r w:rsidR="00AB5ABD">
            <w:rPr>
              <w:noProof/>
            </w:rPr>
            <w:t>2</w:t>
          </w:r>
        </w:fldSimple>
      </w:p>
    </w:sdtContent>
  </w:sdt>
  <w:p w:rsidR="006C0FD2" w:rsidRDefault="006C0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60" w:rsidRDefault="00793660" w:rsidP="00873E91">
      <w:r>
        <w:separator/>
      </w:r>
    </w:p>
  </w:footnote>
  <w:footnote w:type="continuationSeparator" w:id="0">
    <w:p w:rsidR="00793660" w:rsidRDefault="00793660" w:rsidP="00873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BDC"/>
    <w:multiLevelType w:val="hybridMultilevel"/>
    <w:tmpl w:val="1EB8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C0ECA"/>
    <w:multiLevelType w:val="hybridMultilevel"/>
    <w:tmpl w:val="64DEF81C"/>
    <w:lvl w:ilvl="0" w:tplc="BD3C3C5E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6B9602C"/>
    <w:multiLevelType w:val="hybridMultilevel"/>
    <w:tmpl w:val="C494F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E11E09"/>
    <w:multiLevelType w:val="hybridMultilevel"/>
    <w:tmpl w:val="CB2E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52CD3"/>
    <w:multiLevelType w:val="hybridMultilevel"/>
    <w:tmpl w:val="80EED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A5F"/>
    <w:multiLevelType w:val="hybridMultilevel"/>
    <w:tmpl w:val="E9ECC5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675E0"/>
    <w:multiLevelType w:val="hybridMultilevel"/>
    <w:tmpl w:val="8D9869E4"/>
    <w:lvl w:ilvl="0" w:tplc="F53CB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130"/>
    <w:multiLevelType w:val="hybridMultilevel"/>
    <w:tmpl w:val="0CEE7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E56E71"/>
    <w:multiLevelType w:val="hybridMultilevel"/>
    <w:tmpl w:val="8AB0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F1"/>
    <w:rsid w:val="00026AF1"/>
    <w:rsid w:val="00082495"/>
    <w:rsid w:val="000A4FF4"/>
    <w:rsid w:val="000B346D"/>
    <w:rsid w:val="000C219D"/>
    <w:rsid w:val="00101FAC"/>
    <w:rsid w:val="001633B0"/>
    <w:rsid w:val="001A7858"/>
    <w:rsid w:val="001D15D6"/>
    <w:rsid w:val="002228DA"/>
    <w:rsid w:val="0024118A"/>
    <w:rsid w:val="002422E4"/>
    <w:rsid w:val="00242564"/>
    <w:rsid w:val="002625AA"/>
    <w:rsid w:val="002A53AC"/>
    <w:rsid w:val="002C5440"/>
    <w:rsid w:val="002C5524"/>
    <w:rsid w:val="002D3AC2"/>
    <w:rsid w:val="00364B10"/>
    <w:rsid w:val="00367D21"/>
    <w:rsid w:val="003C0F89"/>
    <w:rsid w:val="003C2695"/>
    <w:rsid w:val="003C6919"/>
    <w:rsid w:val="003D07BB"/>
    <w:rsid w:val="003E5657"/>
    <w:rsid w:val="004430C4"/>
    <w:rsid w:val="004468D0"/>
    <w:rsid w:val="00490739"/>
    <w:rsid w:val="0055091B"/>
    <w:rsid w:val="00562443"/>
    <w:rsid w:val="0059036C"/>
    <w:rsid w:val="005E426A"/>
    <w:rsid w:val="005F4DD8"/>
    <w:rsid w:val="00655315"/>
    <w:rsid w:val="006C0FD2"/>
    <w:rsid w:val="006C6D73"/>
    <w:rsid w:val="007332E6"/>
    <w:rsid w:val="0079032E"/>
    <w:rsid w:val="00793660"/>
    <w:rsid w:val="007A2BA0"/>
    <w:rsid w:val="007B03C6"/>
    <w:rsid w:val="00815821"/>
    <w:rsid w:val="00833E41"/>
    <w:rsid w:val="00834E27"/>
    <w:rsid w:val="00873E91"/>
    <w:rsid w:val="00894754"/>
    <w:rsid w:val="008D606E"/>
    <w:rsid w:val="00900842"/>
    <w:rsid w:val="00933050"/>
    <w:rsid w:val="009568D6"/>
    <w:rsid w:val="0095720E"/>
    <w:rsid w:val="009D5B6D"/>
    <w:rsid w:val="009F2F26"/>
    <w:rsid w:val="00A352D6"/>
    <w:rsid w:val="00A55323"/>
    <w:rsid w:val="00AB5ABD"/>
    <w:rsid w:val="00AD6EA8"/>
    <w:rsid w:val="00B13F1B"/>
    <w:rsid w:val="00B27E2D"/>
    <w:rsid w:val="00B470AF"/>
    <w:rsid w:val="00B83EF1"/>
    <w:rsid w:val="00B8436B"/>
    <w:rsid w:val="00BD7A7D"/>
    <w:rsid w:val="00BF1B5A"/>
    <w:rsid w:val="00C00420"/>
    <w:rsid w:val="00C330B1"/>
    <w:rsid w:val="00C53D87"/>
    <w:rsid w:val="00D22CA0"/>
    <w:rsid w:val="00D32707"/>
    <w:rsid w:val="00D633A5"/>
    <w:rsid w:val="00D77329"/>
    <w:rsid w:val="00DB37DF"/>
    <w:rsid w:val="00DD49F6"/>
    <w:rsid w:val="00E56106"/>
    <w:rsid w:val="00EB0386"/>
    <w:rsid w:val="00ED00C4"/>
    <w:rsid w:val="00ED638A"/>
    <w:rsid w:val="00F8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26AF1"/>
  </w:style>
  <w:style w:type="paragraph" w:styleId="ListParagraph">
    <w:name w:val="List Paragraph"/>
    <w:basedOn w:val="Normal"/>
    <w:uiPriority w:val="34"/>
    <w:qFormat/>
    <w:rsid w:val="001A7858"/>
    <w:pPr>
      <w:ind w:left="720"/>
      <w:contextualSpacing/>
    </w:pPr>
  </w:style>
  <w:style w:type="paragraph" w:customStyle="1" w:styleId="Normal1">
    <w:name w:val="Normal1"/>
    <w:basedOn w:val="Normal"/>
    <w:rsid w:val="00562443"/>
    <w:pPr>
      <w:spacing w:before="60" w:after="60"/>
      <w:jc w:val="both"/>
    </w:pPr>
    <w:rPr>
      <w:rFonts w:ascii="Trebuchet MS" w:hAnsi="Trebuchet MS"/>
      <w:sz w:val="20"/>
      <w:lang w:eastAsia="en-US"/>
    </w:rPr>
  </w:style>
  <w:style w:type="paragraph" w:styleId="BodyText">
    <w:name w:val="Body Text"/>
    <w:aliases w:val="block style,Body,Standard paragraph,b"/>
    <w:basedOn w:val="Normal"/>
    <w:link w:val="BodyTextChar1"/>
    <w:rsid w:val="00562443"/>
    <w:pPr>
      <w:spacing w:before="120" w:after="120"/>
    </w:pPr>
    <w:rPr>
      <w:rFonts w:ascii="Trebuchet MS" w:hAnsi="Trebuchet MS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244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1">
    <w:name w:val="Body Text Char1"/>
    <w:aliases w:val="block style Char,Body Char,Standard paragraph Char,b Char"/>
    <w:link w:val="BodyText"/>
    <w:locked/>
    <w:rsid w:val="00562443"/>
    <w:rPr>
      <w:rFonts w:ascii="Trebuchet MS" w:eastAsia="Times New Roman" w:hAnsi="Trebuchet MS" w:cs="Times New Roman"/>
      <w:sz w:val="20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1"/>
    <w:rsid w:val="00873E91"/>
    <w:rPr>
      <w:rFonts w:ascii="Trebuchet MS" w:hAnsi="Trebuchet MS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E9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873E91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"/>
    <w:link w:val="FootnoteText"/>
    <w:rsid w:val="00873E91"/>
    <w:rPr>
      <w:rFonts w:ascii="Trebuchet MS" w:eastAsia="Times New Roman" w:hAnsi="Trebuchet MS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873E91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C0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FD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C0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FD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55</cp:revision>
  <cp:lastPrinted>2012-11-22T13:31:00Z</cp:lastPrinted>
  <dcterms:created xsi:type="dcterms:W3CDTF">2012-11-22T10:05:00Z</dcterms:created>
  <dcterms:modified xsi:type="dcterms:W3CDTF">2017-01-12T11:29:00Z</dcterms:modified>
</cp:coreProperties>
</file>