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EDA9" w14:textId="77777777" w:rsidR="00B439E5" w:rsidRDefault="00B439E5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8871E13" w14:textId="77777777" w:rsidR="00840B02" w:rsidRDefault="00840B0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29982C9" w14:textId="77777777" w:rsidR="00260E4C" w:rsidRPr="00260E4C" w:rsidRDefault="00260E4C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140A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MUNICIPIUL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TIMIŞOARA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63B4897" w14:textId="77777777" w:rsidR="00341912" w:rsidRPr="00260E4C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ECONOMICA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3D9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60E4C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14:paraId="1B5C8E17" w14:textId="0500B0EA" w:rsidR="00341912" w:rsidRPr="00260E4C" w:rsidRDefault="00341912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9113D8">
        <w:rPr>
          <w:rFonts w:ascii="Times New Roman" w:hAnsi="Times New Roman" w:cs="Times New Roman"/>
          <w:sz w:val="24"/>
          <w:szCs w:val="24"/>
          <w:lang w:val="ro-RO"/>
        </w:rPr>
        <w:t>SC 202</w:t>
      </w:r>
      <w:r w:rsidR="0064572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9113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115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B53583">
        <w:rPr>
          <w:rFonts w:ascii="Times New Roman" w:hAnsi="Times New Roman" w:cs="Times New Roman"/>
          <w:sz w:val="24"/>
          <w:szCs w:val="24"/>
          <w:lang w:val="ro-RO"/>
        </w:rPr>
        <w:t>1565/19.01.2023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C3DBE6" w14:textId="24257908" w:rsidR="00140AA3" w:rsidRDefault="00341912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67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4CA0E978" w14:textId="5686FAA2" w:rsidR="008C7DE4" w:rsidRDefault="008C7DE4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4A0114" w14:textId="77777777" w:rsidR="008C7DE4" w:rsidRPr="00260E4C" w:rsidRDefault="008C7DE4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CD7F4B4" w14:textId="77777777" w:rsidR="00341912" w:rsidRPr="00260E4C" w:rsidRDefault="006110F0" w:rsidP="006110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23D35151" w14:textId="2F5DE023" w:rsidR="00B439E5" w:rsidRPr="00C413E1" w:rsidRDefault="00646E59" w:rsidP="00E60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2B0505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>repartiz</w:t>
      </w:r>
      <w:r w:rsidR="002B0505" w:rsidRPr="00C413E1">
        <w:rPr>
          <w:rFonts w:ascii="Times New Roman" w:hAnsi="Times New Roman" w:cs="Times New Roman"/>
          <w:b/>
          <w:sz w:val="24"/>
          <w:szCs w:val="24"/>
          <w:lang w:val="ro-RO"/>
        </w:rPr>
        <w:t>arii si utilizarii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excedent</w:t>
      </w:r>
      <w:r w:rsidR="005667BE" w:rsidRPr="00C413E1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="00E9520C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15975">
        <w:rPr>
          <w:rFonts w:ascii="Times New Roman" w:hAnsi="Times New Roman" w:cs="Times New Roman"/>
          <w:b/>
          <w:sz w:val="24"/>
          <w:szCs w:val="24"/>
          <w:lang w:val="ro-RO"/>
        </w:rPr>
        <w:t>bugetului local</w:t>
      </w:r>
      <w:r w:rsidR="00A922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C159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08A2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 in sold </w:t>
      </w:r>
      <w:r w:rsidR="00DF6298"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data de </w:t>
      </w:r>
      <w:r w:rsidR="009F1451">
        <w:rPr>
          <w:rFonts w:ascii="Times New Roman" w:hAnsi="Times New Roman" w:cs="Times New Roman"/>
          <w:b/>
          <w:sz w:val="24"/>
          <w:szCs w:val="24"/>
          <w:lang w:val="ro-RO"/>
        </w:rPr>
        <w:t>31.12.202</w:t>
      </w:r>
      <w:r w:rsidR="00231108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14:paraId="7CE3658A" w14:textId="542977F6" w:rsidR="00A10ACA" w:rsidRDefault="00A10ACA" w:rsidP="00C413E1">
      <w:pPr>
        <w:spacing w:after="0"/>
        <w:ind w:left="-426" w:right="-27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EBEA43" w14:textId="77777777" w:rsidR="008C7DE4" w:rsidRDefault="008C7DE4" w:rsidP="00C413E1">
      <w:pPr>
        <w:spacing w:after="0"/>
        <w:ind w:left="-426" w:right="-27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BB6C86" w14:textId="77777777" w:rsidR="00831DE0" w:rsidRPr="00831DE0" w:rsidRDefault="00140AA3" w:rsidP="007A4D3D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1E20B8"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1DE0">
        <w:rPr>
          <w:rFonts w:ascii="Times New Roman" w:hAnsi="Times New Roman" w:cs="Times New Roman"/>
          <w:sz w:val="24"/>
          <w:szCs w:val="24"/>
          <w:lang w:val="ro-RO"/>
        </w:rPr>
        <w:t xml:space="preserve">prevederile aferente Legii nr. 273/2006 a Finantelor Publice Locale, art. 58, conform </w:t>
      </w:r>
      <w:proofErr w:type="spellStart"/>
      <w:r w:rsidR="00831DE0"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 w:rsidR="00831DE0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190A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="00D4190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restante,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14:paraId="433F213A" w14:textId="77777777" w:rsidR="005C0E01" w:rsidRPr="00B108DD" w:rsidRDefault="00901ECF" w:rsidP="007A4D3D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  <w:proofErr w:type="gramEnd"/>
    </w:p>
    <w:p w14:paraId="67EA9206" w14:textId="77777777" w:rsidR="005C0E01" w:rsidRPr="00B108DD" w:rsidRDefault="00901ECF" w:rsidP="007A4D3D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temporară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golurilor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provenite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decalajele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între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curent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disponibilului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aplicării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prevederilor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B108DD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lit. a)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2CF0D5DC" w14:textId="77777777" w:rsidR="005C0E01" w:rsidRPr="00B108DD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114B3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2E491F0E" w14:textId="77777777" w:rsidR="00E00205" w:rsidRPr="0088464F" w:rsidRDefault="00901ECF" w:rsidP="007A4D3D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</w:t>
      </w:r>
      <w:r w:rsidR="00B81CE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 </w:t>
      </w:r>
    </w:p>
    <w:p w14:paraId="46393686" w14:textId="77777777" w:rsidR="001F6366" w:rsidRPr="00C075BC" w:rsidRDefault="00B108DD" w:rsidP="00C075BC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r w:rsidR="00901ECF"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(1^2)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Prefinanțarea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acordată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beneficiarilor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care au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calitatea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ordonatori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credite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ai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bugetului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local,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rămasă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neutilizată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finele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exercițiului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bugetar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, se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reflectă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excedentul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bugetului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local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și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se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utilizează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anul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următor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aceeași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destinație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cadrul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secțiunii</w:t>
      </w:r>
      <w:proofErr w:type="spellEnd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901ECF" w:rsidRPr="00C075BC">
        <w:rPr>
          <w:rStyle w:val="salnbdy"/>
          <w:rFonts w:ascii="Times New Roman" w:hAnsi="Times New Roman"/>
          <w:color w:val="auto"/>
          <w:sz w:val="24"/>
          <w:szCs w:val="24"/>
        </w:rPr>
        <w:t>dezvoltare</w:t>
      </w:r>
      <w:proofErr w:type="spellEnd"/>
      <w:r w:rsidR="007F7E5F" w:rsidRPr="00C075BC">
        <w:rPr>
          <w:rStyle w:val="salnbdy"/>
          <w:rFonts w:ascii="Times New Roman" w:hAnsi="Times New Roman"/>
          <w:color w:val="auto"/>
          <w:sz w:val="24"/>
          <w:szCs w:val="24"/>
        </w:rPr>
        <w:t>;</w:t>
      </w:r>
    </w:p>
    <w:p w14:paraId="1BED95BD" w14:textId="29C9FB50" w:rsidR="00563EB6" w:rsidRPr="005431AF" w:rsidRDefault="00563EB6" w:rsidP="005431AF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conformitate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prevederile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art. 129,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. 2 lit. b,</w:t>
      </w:r>
      <w:r w:rsidR="008D3116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</w:t>
      </w:r>
      <w:r w:rsid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n</w:t>
      </w:r>
      <w:proofErr w:type="spellEnd"/>
      <w:r w:rsid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4 lit. a, art. 139, </w:t>
      </w:r>
      <w:proofErr w:type="spellStart"/>
      <w:r w:rsid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3 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Ordonanta</w:t>
      </w:r>
      <w:proofErr w:type="spellEnd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Urgenta</w:t>
      </w:r>
      <w:proofErr w:type="spellEnd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57/2019 </w:t>
      </w: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Codul</w:t>
      </w:r>
      <w:proofErr w:type="spellEnd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Administrativ</w:t>
      </w:r>
      <w:proofErr w:type="spellEnd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173B41CA" w14:textId="77777777" w:rsidR="005213DB" w:rsidRDefault="00451099" w:rsidP="005213DB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</w:pP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="0088464F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464F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="0088464F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8464F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="0088464F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Finantelor </w:t>
      </w:r>
      <w:proofErr w:type="spellStart"/>
      <w:r w:rsidR="0088464F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="00231108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4.271 din 15 </w:t>
      </w:r>
      <w:proofErr w:type="spellStart"/>
      <w:r w:rsidR="00231108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decembrie</w:t>
      </w:r>
      <w:proofErr w:type="spellEnd"/>
      <w:r w:rsidR="00231108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2022</w:t>
      </w:r>
      <w:r w:rsid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hyperlink w:history="1">
        <w:proofErr w:type="spellStart"/>
        <w:r w:rsidR="00231108" w:rsidRPr="005431AF">
          <w:rPr>
            <w:rStyle w:val="salnbdy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Normelor</w:t>
        </w:r>
        <w:proofErr w:type="spellEnd"/>
        <w:r w:rsidR="00231108" w:rsidRPr="005431AF">
          <w:rPr>
            <w:rStyle w:val="salnbdy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231108" w:rsidRPr="005431AF">
          <w:rPr>
            <w:rStyle w:val="salnbdy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metodologice</w:t>
        </w:r>
        <w:proofErr w:type="spellEnd"/>
      </w:hyperlink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exerciţiului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="00231108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2022</w:t>
      </w:r>
      <w:r w:rsidR="0088464F"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</w:t>
      </w:r>
      <w:r w:rsidR="008D3116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,</w:t>
      </w:r>
      <w:r w:rsidR="002A1A48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 w:rsidR="002A1A48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 w:rsidR="002A1A48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E027DF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</w:t>
      </w:r>
      <w:r w:rsidR="002E2B39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;</w:t>
      </w:r>
    </w:p>
    <w:p w14:paraId="17B3C62B" w14:textId="3F492D7E" w:rsidR="00B53583" w:rsidRDefault="005213DB" w:rsidP="00B53583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</w:pPr>
      <w:bookmarkStart w:id="0" w:name="_Hlk125016375"/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adresa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nr. SC 2023 – 1362/18.01.2023</w:t>
      </w:r>
      <w:r w:rsidR="00AB272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,</w:t>
      </w:r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Directiei</w:t>
      </w:r>
      <w:proofErr w:type="spellEnd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Generale</w:t>
      </w:r>
      <w:proofErr w:type="spellEnd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Investitii</w:t>
      </w:r>
      <w:proofErr w:type="spellEnd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si</w:t>
      </w:r>
      <w:proofErr w:type="spellEnd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Mentenanta</w:t>
      </w:r>
      <w:proofErr w:type="spellEnd"/>
      <w:r w:rsidR="006A41F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/</w:t>
      </w:r>
      <w:proofErr w:type="spellStart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Directi</w:t>
      </w:r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ei</w:t>
      </w:r>
      <w:proofErr w:type="spellEnd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Revitalizare</w:t>
      </w:r>
      <w:proofErr w:type="spellEnd"/>
      <w:r w:rsidR="00C372A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Urbana</w:t>
      </w:r>
      <w:r w:rsidR="006B121C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/</w:t>
      </w:r>
      <w:proofErr w:type="spellStart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Serviciul</w:t>
      </w:r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ui</w:t>
      </w:r>
      <w:proofErr w:type="spellEnd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Infrastructura</w:t>
      </w:r>
      <w:proofErr w:type="spellEnd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Culturala</w:t>
      </w:r>
      <w:proofErr w:type="spellEnd"/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,</w:t>
      </w:r>
      <w:r w:rsidR="0033640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prin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care se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transmite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Directiei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Economice</w:t>
      </w:r>
      <w:proofErr w:type="spellEnd"/>
      <w:r w:rsidR="00520AC0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modul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repartizare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2022, in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valoare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19.072.839,72 lei</w:t>
      </w:r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171951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finantarea</w:t>
      </w:r>
      <w:proofErr w:type="spellEnd"/>
      <w:r w:rsidR="00171951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</w:t>
      </w:r>
      <w:r w:rsidR="00C9146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e la </w:t>
      </w:r>
      <w:proofErr w:type="spellStart"/>
      <w:r w:rsidR="00C9146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Ministerul</w:t>
      </w:r>
      <w:proofErr w:type="spellEnd"/>
      <w:r w:rsidR="00C9146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C9146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Culturii</w:t>
      </w:r>
      <w:proofErr w:type="spellEnd"/>
      <w:r w:rsidR="00C9146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,</w:t>
      </w:r>
      <w:r w:rsidR="00171951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obiectivel</w:t>
      </w:r>
      <w:r w:rsidR="00171951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or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investitii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implementate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si</w:t>
      </w:r>
      <w:proofErr w:type="spellEnd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monitorizate</w:t>
      </w:r>
      <w:proofErr w:type="spellEnd"/>
      <w:r w:rsidR="00171951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171951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catre</w:t>
      </w:r>
      <w:proofErr w:type="spellEnd"/>
      <w:r w:rsidR="00171951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D9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structurile</w:t>
      </w:r>
      <w:proofErr w:type="spellEnd"/>
      <w:r w:rsidR="008E3D9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D9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mentionate</w:t>
      </w:r>
      <w:proofErr w:type="spellEnd"/>
      <w:r w:rsidR="008E3D9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D9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mai</w:t>
      </w:r>
      <w:proofErr w:type="spellEnd"/>
      <w:r w:rsidR="008E3D95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sus</w:t>
      </w:r>
      <w:r w:rsidR="00296BC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,</w:t>
      </w:r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conformitate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prevederile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Legii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286/2022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Ordonanţei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urgenţă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Guvernului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83/2022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modificarea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şi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completarea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Ordonanţei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Guvernului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51/1998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îmbunătăţirea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sistemului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finanţare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programelor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şi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acţiunilor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culturale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şi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modificarea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Ordonanţei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lastRenderedPageBreak/>
        <w:t xml:space="preserve">de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urgenţă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Guvernului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42/2019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unor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măsuri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susţinerea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desfăşurării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Programului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Cultural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Naţional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"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Timişoara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-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Capitală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Europeană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Culturii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2023",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prevederile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Ministerului</w:t>
      </w:r>
      <w:proofErr w:type="spellEnd"/>
      <w:proofErr w:type="gram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Culturii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3560/15.12.2022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actualizarii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dosarului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candidatura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Programul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National "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Timişoara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-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Capitală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Europeană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Culturii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="00296BC5" w:rsidRPr="005213D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2023</w:t>
      </w:r>
      <w:proofErr w:type="gramStart"/>
      <w:r w:rsidR="00296BC5" w:rsidRPr="00B72C8E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"</w:t>
      </w:r>
      <w:r w:rsidR="00894F03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  <w:proofErr w:type="gramEnd"/>
    </w:p>
    <w:bookmarkEnd w:id="0"/>
    <w:p w14:paraId="1025F2DB" w14:textId="6A4A8F61" w:rsidR="009A4064" w:rsidRPr="00BD0941" w:rsidRDefault="009A4064" w:rsidP="00BD0941">
      <w:pPr>
        <w:spacing w:after="0"/>
        <w:ind w:firstLine="720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Tinand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cont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2629DB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="002629DB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629DB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aspecte</w:t>
      </w:r>
      <w:proofErr w:type="spellEnd"/>
      <w:r w:rsidR="002629DB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629DB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precizate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629DB" w:rsidRPr="009A2ED2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2629DB" w:rsidRPr="009A2ED2">
        <w:rPr>
          <w:rFonts w:ascii="Times New Roman" w:hAnsi="Times New Roman" w:cs="Times New Roman"/>
          <w:sz w:val="24"/>
          <w:szCs w:val="24"/>
        </w:rPr>
        <w:t>menţionată</w:t>
      </w:r>
      <w:proofErr w:type="spellEnd"/>
      <w:r w:rsidR="0026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5016271"/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62">
        <w:rPr>
          <w:rFonts w:ascii="Times New Roman" w:hAnsi="Times New Roman" w:cs="Times New Roman"/>
          <w:sz w:val="24"/>
          <w:szCs w:val="24"/>
        </w:rPr>
        <w:t>repartizarii</w:t>
      </w:r>
      <w:proofErr w:type="spellEnd"/>
      <w:r w:rsidR="005C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C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98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98"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98">
        <w:rPr>
          <w:rFonts w:ascii="Times New Roman" w:hAnsi="Times New Roman" w:cs="Times New Roman"/>
          <w:sz w:val="24"/>
          <w:szCs w:val="24"/>
        </w:rPr>
        <w:t>bug</w:t>
      </w:r>
      <w:r w:rsidR="00B47865" w:rsidRPr="00FE2998">
        <w:rPr>
          <w:rFonts w:ascii="Times New Roman" w:hAnsi="Times New Roman" w:cs="Times New Roman"/>
          <w:sz w:val="24"/>
          <w:szCs w:val="24"/>
        </w:rPr>
        <w:t>etului</w:t>
      </w:r>
      <w:proofErr w:type="spellEnd"/>
      <w:r w:rsidR="00B47865" w:rsidRPr="00FE2998">
        <w:rPr>
          <w:rFonts w:ascii="Times New Roman" w:hAnsi="Times New Roman" w:cs="Times New Roman"/>
          <w:sz w:val="24"/>
          <w:szCs w:val="24"/>
        </w:rPr>
        <w:t xml:space="preserve"> local</w:t>
      </w:r>
      <w:r w:rsidR="005C1662" w:rsidRPr="00FE2998">
        <w:rPr>
          <w:rFonts w:ascii="Times New Roman" w:hAnsi="Times New Roman" w:cs="Times New Roman"/>
          <w:sz w:val="24"/>
          <w:szCs w:val="24"/>
        </w:rPr>
        <w:t xml:space="preserve"> </w:t>
      </w:r>
      <w:r w:rsidR="00B53583" w:rsidRPr="007D45D6">
        <w:rPr>
          <w:rFonts w:ascii="Times New Roman" w:hAnsi="Times New Roman" w:cs="Times New Roman"/>
          <w:bCs/>
          <w:sz w:val="24"/>
          <w:szCs w:val="24"/>
          <w:lang w:val="ro-RO"/>
        </w:rPr>
        <w:t>aflat in sold la data de 31.12.2022</w:t>
      </w:r>
      <w:r w:rsidR="00BD094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E2998">
        <w:rPr>
          <w:rFonts w:ascii="Times New Roman" w:hAnsi="Times New Roman" w:cs="Times New Roman"/>
          <w:sz w:val="24"/>
          <w:szCs w:val="24"/>
        </w:rPr>
        <w:t>,</w:t>
      </w:r>
      <w:r w:rsidR="00872207" w:rsidRPr="00FE299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72207" w:rsidRPr="00FE2998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645722" w:rsidRPr="00FE2998">
        <w:rPr>
          <w:rFonts w:ascii="Times New Roman" w:hAnsi="Times New Roman" w:cs="Times New Roman"/>
          <w:b/>
          <w:sz w:val="24"/>
          <w:szCs w:val="24"/>
        </w:rPr>
        <w:t>70.698.922,44 lei</w:t>
      </w:r>
      <w:r w:rsidR="00E76DFB" w:rsidRPr="00FE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temporara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golurilor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decalajele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sectiunilor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72207" w:rsidRPr="00FE299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FE2998" w:rsidRPr="00FE2998">
        <w:rPr>
          <w:rFonts w:ascii="Times New Roman" w:hAnsi="Times New Roman" w:cs="Times New Roman"/>
          <w:b/>
          <w:sz w:val="24"/>
          <w:szCs w:val="24"/>
        </w:rPr>
        <w:t xml:space="preserve">14.533.413,72 </w:t>
      </w:r>
      <w:r w:rsidR="00872207" w:rsidRPr="00FE2998">
        <w:rPr>
          <w:rFonts w:ascii="Times New Roman" w:hAnsi="Times New Roman" w:cs="Times New Roman"/>
          <w:b/>
          <w:sz w:val="24"/>
          <w:szCs w:val="24"/>
        </w:rPr>
        <w:t>lei</w:t>
      </w:r>
      <w:r w:rsidR="00E76DFB" w:rsidRPr="00FE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prefinantarilor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72207" w:rsidRPr="00FE299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FE2998" w:rsidRPr="00FE2998">
        <w:rPr>
          <w:rFonts w:ascii="Times New Roman" w:hAnsi="Times New Roman" w:cs="Times New Roman"/>
          <w:b/>
          <w:sz w:val="24"/>
          <w:szCs w:val="24"/>
        </w:rPr>
        <w:t>37.092.669,00</w:t>
      </w:r>
      <w:r w:rsidR="00872207" w:rsidRPr="00FE2998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872207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207" w:rsidRPr="00FE29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</w:t>
      </w:r>
      <w:r w:rsidR="00E76DFB" w:rsidRPr="00FE2998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sursa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sectiunii</w:t>
      </w:r>
      <w:proofErr w:type="spellEnd"/>
      <w:r w:rsidR="00E76DFB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DFB" w:rsidRPr="00FE299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72207" w:rsidRPr="00FE299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872207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FE2998" w:rsidRPr="00FE2998">
        <w:rPr>
          <w:rFonts w:ascii="Times New Roman" w:hAnsi="Times New Roman" w:cs="Times New Roman"/>
          <w:b/>
          <w:sz w:val="24"/>
          <w:szCs w:val="24"/>
        </w:rPr>
        <w:t>19.072.839,72</w:t>
      </w:r>
      <w:r w:rsidR="00E76DFB" w:rsidRPr="00FE2998">
        <w:rPr>
          <w:rFonts w:ascii="Times New Roman" w:hAnsi="Times New Roman" w:cs="Times New Roman"/>
          <w:sz w:val="24"/>
          <w:szCs w:val="24"/>
        </w:rPr>
        <w:t xml:space="preserve">, </w:t>
      </w:r>
      <w:r w:rsidRPr="00FE2998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FE2998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98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FE2998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DCDCBEC" w14:textId="77777777" w:rsidR="003E2FCC" w:rsidRPr="0088464F" w:rsidRDefault="003E2FCC" w:rsidP="0088464F">
      <w:pPr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AE26B24" w14:textId="77777777" w:rsidR="00C85982" w:rsidRPr="00D174E3" w:rsidRDefault="00C85982" w:rsidP="00563EB6">
      <w:pPr>
        <w:spacing w:after="0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FEB133" w14:textId="640FEDEC" w:rsidR="005431AF" w:rsidRPr="00D174E3" w:rsidRDefault="004C1BE2" w:rsidP="005431AF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="0088464F" w:rsidRPr="00D174E3">
        <w:rPr>
          <w:rFonts w:ascii="Times New Roman" w:hAnsi="Times New Roman" w:cs="Times New Roman"/>
          <w:b/>
          <w:sz w:val="20"/>
          <w:szCs w:val="20"/>
        </w:rPr>
        <w:t>DIRECTOR ECONOMIC,</w:t>
      </w:r>
      <w:r w:rsidR="0088464F" w:rsidRPr="00D174E3">
        <w:rPr>
          <w:rFonts w:ascii="Times New Roman" w:hAnsi="Times New Roman" w:cs="Times New Roman"/>
          <w:b/>
          <w:sz w:val="20"/>
          <w:szCs w:val="20"/>
        </w:rPr>
        <w:tab/>
      </w:r>
      <w:r w:rsidR="00134817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5431AF" w:rsidRPr="00D174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72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1AF" w:rsidRPr="00D174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2FC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431AF" w:rsidRPr="00D174E3">
        <w:rPr>
          <w:rFonts w:ascii="Times New Roman" w:hAnsi="Times New Roman" w:cs="Times New Roman"/>
          <w:b/>
          <w:sz w:val="20"/>
          <w:szCs w:val="20"/>
        </w:rPr>
        <w:t>SEF SERVICIU BUGET,</w:t>
      </w:r>
      <w:r w:rsidR="00134817">
        <w:rPr>
          <w:rFonts w:ascii="Times New Roman" w:hAnsi="Times New Roman" w:cs="Times New Roman"/>
          <w:b/>
          <w:sz w:val="20"/>
          <w:szCs w:val="20"/>
        </w:rPr>
        <w:tab/>
      </w:r>
      <w:r w:rsidR="00134817">
        <w:rPr>
          <w:rFonts w:ascii="Times New Roman" w:hAnsi="Times New Roman" w:cs="Times New Roman"/>
          <w:b/>
          <w:sz w:val="20"/>
          <w:szCs w:val="20"/>
        </w:rPr>
        <w:tab/>
      </w:r>
      <w:r w:rsidR="003E2FC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134817">
        <w:rPr>
          <w:rFonts w:ascii="Times New Roman" w:hAnsi="Times New Roman" w:cs="Times New Roman"/>
          <w:b/>
          <w:sz w:val="20"/>
          <w:szCs w:val="20"/>
        </w:rPr>
        <w:t>SEF BIROU CONTABILITATE,</w:t>
      </w:r>
    </w:p>
    <w:p w14:paraId="3C00DDA0" w14:textId="7E1482E7" w:rsidR="00021855" w:rsidRPr="00D174E3" w:rsidRDefault="0088464F" w:rsidP="00021855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D174E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C1BE2" w:rsidRPr="00D174E3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Pr="00D174E3">
        <w:rPr>
          <w:rFonts w:ascii="Times New Roman" w:hAnsi="Times New Roman" w:cs="Times New Roman"/>
          <w:b/>
          <w:sz w:val="20"/>
          <w:szCs w:val="20"/>
        </w:rPr>
        <w:t>STELIANA STAN</w:t>
      </w:r>
      <w:r w:rsidR="00134817">
        <w:rPr>
          <w:rFonts w:ascii="Times New Roman" w:hAnsi="Times New Roman" w:cs="Times New Roman"/>
          <w:b/>
          <w:sz w:val="20"/>
          <w:szCs w:val="20"/>
        </w:rPr>
        <w:t xml:space="preserve">CIU                          </w:t>
      </w:r>
      <w:r w:rsidR="003E2F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48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2F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481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172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2F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31AF" w:rsidRPr="00D174E3">
        <w:rPr>
          <w:rFonts w:ascii="Times New Roman" w:hAnsi="Times New Roman" w:cs="Times New Roman"/>
          <w:b/>
          <w:sz w:val="20"/>
          <w:szCs w:val="20"/>
        </w:rPr>
        <w:t>RAMONA RADU</w:t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="00134817">
        <w:rPr>
          <w:rFonts w:ascii="Times New Roman" w:hAnsi="Times New Roman" w:cs="Times New Roman"/>
          <w:b/>
          <w:sz w:val="20"/>
          <w:szCs w:val="20"/>
        </w:rPr>
        <w:tab/>
      </w:r>
      <w:r w:rsidR="00134817">
        <w:rPr>
          <w:rFonts w:ascii="Times New Roman" w:hAnsi="Times New Roman" w:cs="Times New Roman"/>
          <w:b/>
          <w:sz w:val="20"/>
          <w:szCs w:val="20"/>
        </w:rPr>
        <w:tab/>
      </w:r>
      <w:r w:rsidR="003E2FC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34817">
        <w:rPr>
          <w:rFonts w:ascii="Times New Roman" w:hAnsi="Times New Roman" w:cs="Times New Roman"/>
          <w:b/>
          <w:sz w:val="20"/>
          <w:szCs w:val="20"/>
        </w:rPr>
        <w:t>LIVIU ANDRON</w:t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="004C1BE2" w:rsidRPr="00D174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4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4E3">
        <w:rPr>
          <w:rFonts w:ascii="Times New Roman" w:hAnsi="Times New Roman" w:cs="Times New Roman"/>
          <w:b/>
          <w:sz w:val="20"/>
          <w:szCs w:val="20"/>
        </w:rPr>
        <w:tab/>
      </w:r>
      <w:r w:rsidR="00D174E3" w:rsidRPr="00D174E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</w:p>
    <w:p w14:paraId="08432450" w14:textId="77777777" w:rsidR="00901ECF" w:rsidRPr="00D174E3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4E9784C" w14:textId="488FB27F" w:rsidR="00645722" w:rsidRPr="00D174E3" w:rsidRDefault="0088464F" w:rsidP="00134817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E3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D174E3">
        <w:rPr>
          <w:rFonts w:ascii="Times New Roman" w:hAnsi="Times New Roman" w:cs="Times New Roman"/>
          <w:b/>
          <w:sz w:val="20"/>
          <w:szCs w:val="20"/>
          <w:lang w:val="ro-RO"/>
        </w:rPr>
        <w:tab/>
      </w:r>
    </w:p>
    <w:p w14:paraId="29B1FFB5" w14:textId="69553FEC" w:rsidR="00D174E3" w:rsidRPr="00D174E3" w:rsidRDefault="00D174E3" w:rsidP="00D174E3">
      <w:pPr>
        <w:spacing w:after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174E3" w:rsidRPr="00D174E3" w:rsidSect="00260887">
      <w:pgSz w:w="12240" w:h="15840"/>
      <w:pgMar w:top="709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924DD9"/>
    <w:multiLevelType w:val="hybridMultilevel"/>
    <w:tmpl w:val="8D4AE4EA"/>
    <w:lvl w:ilvl="0" w:tplc="4CBEA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51377">
    <w:abstractNumId w:val="0"/>
  </w:num>
  <w:num w:numId="2" w16cid:durableId="140190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912"/>
    <w:rsid w:val="000172C6"/>
    <w:rsid w:val="00021475"/>
    <w:rsid w:val="00021855"/>
    <w:rsid w:val="00067B4F"/>
    <w:rsid w:val="000C1039"/>
    <w:rsid w:val="000D2152"/>
    <w:rsid w:val="000D3913"/>
    <w:rsid w:val="00114B3D"/>
    <w:rsid w:val="00121987"/>
    <w:rsid w:val="00134817"/>
    <w:rsid w:val="00140AA3"/>
    <w:rsid w:val="00140CBC"/>
    <w:rsid w:val="00166912"/>
    <w:rsid w:val="00171951"/>
    <w:rsid w:val="001B1565"/>
    <w:rsid w:val="001C247C"/>
    <w:rsid w:val="001D3104"/>
    <w:rsid w:val="001D55ED"/>
    <w:rsid w:val="001E20B8"/>
    <w:rsid w:val="001F6366"/>
    <w:rsid w:val="00210E7B"/>
    <w:rsid w:val="00230820"/>
    <w:rsid w:val="00231108"/>
    <w:rsid w:val="00241B0B"/>
    <w:rsid w:val="00245A70"/>
    <w:rsid w:val="00260887"/>
    <w:rsid w:val="00260E4C"/>
    <w:rsid w:val="002629DB"/>
    <w:rsid w:val="0026654A"/>
    <w:rsid w:val="00275486"/>
    <w:rsid w:val="00296BC5"/>
    <w:rsid w:val="002A1A48"/>
    <w:rsid w:val="002B0505"/>
    <w:rsid w:val="002B3D92"/>
    <w:rsid w:val="002D397B"/>
    <w:rsid w:val="002E2B39"/>
    <w:rsid w:val="002E5610"/>
    <w:rsid w:val="002F25BB"/>
    <w:rsid w:val="002F5730"/>
    <w:rsid w:val="00336405"/>
    <w:rsid w:val="00341912"/>
    <w:rsid w:val="003465F0"/>
    <w:rsid w:val="00361514"/>
    <w:rsid w:val="00374830"/>
    <w:rsid w:val="003878D7"/>
    <w:rsid w:val="00391EBF"/>
    <w:rsid w:val="00395465"/>
    <w:rsid w:val="003B16C8"/>
    <w:rsid w:val="003B3C5E"/>
    <w:rsid w:val="003D2980"/>
    <w:rsid w:val="003E2FCC"/>
    <w:rsid w:val="003E40DA"/>
    <w:rsid w:val="004058A3"/>
    <w:rsid w:val="00451099"/>
    <w:rsid w:val="00490BB5"/>
    <w:rsid w:val="00494FE3"/>
    <w:rsid w:val="004C1BE2"/>
    <w:rsid w:val="004D7435"/>
    <w:rsid w:val="004F1FC8"/>
    <w:rsid w:val="004F3F98"/>
    <w:rsid w:val="004F571F"/>
    <w:rsid w:val="00520AC0"/>
    <w:rsid w:val="005213DB"/>
    <w:rsid w:val="00522CE5"/>
    <w:rsid w:val="005431AF"/>
    <w:rsid w:val="0054763F"/>
    <w:rsid w:val="00563EB6"/>
    <w:rsid w:val="005667BE"/>
    <w:rsid w:val="00566BCA"/>
    <w:rsid w:val="00567DEC"/>
    <w:rsid w:val="00590F32"/>
    <w:rsid w:val="005B7DD7"/>
    <w:rsid w:val="005C0E01"/>
    <w:rsid w:val="005C1662"/>
    <w:rsid w:val="005D0CD5"/>
    <w:rsid w:val="005F6F5C"/>
    <w:rsid w:val="00600C60"/>
    <w:rsid w:val="00610FB8"/>
    <w:rsid w:val="006110F0"/>
    <w:rsid w:val="00635982"/>
    <w:rsid w:val="00636378"/>
    <w:rsid w:val="00645722"/>
    <w:rsid w:val="00646E59"/>
    <w:rsid w:val="0066150B"/>
    <w:rsid w:val="00681F2F"/>
    <w:rsid w:val="006A41F0"/>
    <w:rsid w:val="006B121C"/>
    <w:rsid w:val="006C386F"/>
    <w:rsid w:val="006C674D"/>
    <w:rsid w:val="006F45A0"/>
    <w:rsid w:val="00716881"/>
    <w:rsid w:val="00716A9F"/>
    <w:rsid w:val="0072225E"/>
    <w:rsid w:val="00746BE5"/>
    <w:rsid w:val="00771D68"/>
    <w:rsid w:val="0078257C"/>
    <w:rsid w:val="007A22C8"/>
    <w:rsid w:val="007A4D3D"/>
    <w:rsid w:val="007D45D6"/>
    <w:rsid w:val="007E797A"/>
    <w:rsid w:val="007F7E5F"/>
    <w:rsid w:val="00831DE0"/>
    <w:rsid w:val="00837C17"/>
    <w:rsid w:val="00840B02"/>
    <w:rsid w:val="00843563"/>
    <w:rsid w:val="00872207"/>
    <w:rsid w:val="0088161B"/>
    <w:rsid w:val="0088464F"/>
    <w:rsid w:val="00884D25"/>
    <w:rsid w:val="00894991"/>
    <w:rsid w:val="00894F03"/>
    <w:rsid w:val="008C78CC"/>
    <w:rsid w:val="008C7A78"/>
    <w:rsid w:val="008C7DE4"/>
    <w:rsid w:val="008D3116"/>
    <w:rsid w:val="008E1153"/>
    <w:rsid w:val="008E2B7B"/>
    <w:rsid w:val="008E3D95"/>
    <w:rsid w:val="008E6DB3"/>
    <w:rsid w:val="00901ECF"/>
    <w:rsid w:val="009113D8"/>
    <w:rsid w:val="00912A8C"/>
    <w:rsid w:val="00920A65"/>
    <w:rsid w:val="009730E9"/>
    <w:rsid w:val="009907E5"/>
    <w:rsid w:val="009A2ED2"/>
    <w:rsid w:val="009A4064"/>
    <w:rsid w:val="009C0841"/>
    <w:rsid w:val="009C34CA"/>
    <w:rsid w:val="009F1451"/>
    <w:rsid w:val="00A10ACA"/>
    <w:rsid w:val="00A145C0"/>
    <w:rsid w:val="00A159EB"/>
    <w:rsid w:val="00A20705"/>
    <w:rsid w:val="00A37379"/>
    <w:rsid w:val="00A76842"/>
    <w:rsid w:val="00A922C1"/>
    <w:rsid w:val="00AA3258"/>
    <w:rsid w:val="00AB2720"/>
    <w:rsid w:val="00AC0C52"/>
    <w:rsid w:val="00AC4A4F"/>
    <w:rsid w:val="00AE6E38"/>
    <w:rsid w:val="00B108DD"/>
    <w:rsid w:val="00B20F97"/>
    <w:rsid w:val="00B439E5"/>
    <w:rsid w:val="00B47865"/>
    <w:rsid w:val="00B53583"/>
    <w:rsid w:val="00B72C8E"/>
    <w:rsid w:val="00B80509"/>
    <w:rsid w:val="00B81CED"/>
    <w:rsid w:val="00B91566"/>
    <w:rsid w:val="00BA1E72"/>
    <w:rsid w:val="00BA4638"/>
    <w:rsid w:val="00BD0941"/>
    <w:rsid w:val="00BD717F"/>
    <w:rsid w:val="00BE463A"/>
    <w:rsid w:val="00C00B32"/>
    <w:rsid w:val="00C075BC"/>
    <w:rsid w:val="00C07C1B"/>
    <w:rsid w:val="00C15975"/>
    <w:rsid w:val="00C278CB"/>
    <w:rsid w:val="00C27E49"/>
    <w:rsid w:val="00C372AE"/>
    <w:rsid w:val="00C413E1"/>
    <w:rsid w:val="00C565EB"/>
    <w:rsid w:val="00C62DD9"/>
    <w:rsid w:val="00C64AB3"/>
    <w:rsid w:val="00C7054E"/>
    <w:rsid w:val="00C76595"/>
    <w:rsid w:val="00C8278F"/>
    <w:rsid w:val="00C85982"/>
    <w:rsid w:val="00C860FE"/>
    <w:rsid w:val="00C9146D"/>
    <w:rsid w:val="00CC6A13"/>
    <w:rsid w:val="00CF5045"/>
    <w:rsid w:val="00D1728F"/>
    <w:rsid w:val="00D174E3"/>
    <w:rsid w:val="00D302FC"/>
    <w:rsid w:val="00D4190A"/>
    <w:rsid w:val="00D52A85"/>
    <w:rsid w:val="00D63D96"/>
    <w:rsid w:val="00D64F8D"/>
    <w:rsid w:val="00D84485"/>
    <w:rsid w:val="00DB2A36"/>
    <w:rsid w:val="00DD5D8E"/>
    <w:rsid w:val="00DE655C"/>
    <w:rsid w:val="00DF6298"/>
    <w:rsid w:val="00E00205"/>
    <w:rsid w:val="00E027DF"/>
    <w:rsid w:val="00E042A1"/>
    <w:rsid w:val="00E1363A"/>
    <w:rsid w:val="00E214EC"/>
    <w:rsid w:val="00E34B3A"/>
    <w:rsid w:val="00E52562"/>
    <w:rsid w:val="00E52CAB"/>
    <w:rsid w:val="00E5706B"/>
    <w:rsid w:val="00E608A2"/>
    <w:rsid w:val="00E76DFB"/>
    <w:rsid w:val="00E8265D"/>
    <w:rsid w:val="00E86FC3"/>
    <w:rsid w:val="00E933A1"/>
    <w:rsid w:val="00E9520C"/>
    <w:rsid w:val="00EC348C"/>
    <w:rsid w:val="00EE00C4"/>
    <w:rsid w:val="00EE605A"/>
    <w:rsid w:val="00EE745C"/>
    <w:rsid w:val="00F204A1"/>
    <w:rsid w:val="00F20848"/>
    <w:rsid w:val="00F42AC4"/>
    <w:rsid w:val="00F47B57"/>
    <w:rsid w:val="00F54C3D"/>
    <w:rsid w:val="00F6112A"/>
    <w:rsid w:val="00F878A4"/>
    <w:rsid w:val="00F952E7"/>
    <w:rsid w:val="00FD540D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C680"/>
  <w15:docId w15:val="{637FF77B-2BB0-439C-9AC6-3FB511A2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  <w:style w:type="paragraph" w:customStyle="1" w:styleId="sden">
    <w:name w:val="s_den"/>
    <w:basedOn w:val="Normal"/>
    <w:rsid w:val="00231108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705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Ramona RADU</cp:lastModifiedBy>
  <cp:revision>284</cp:revision>
  <cp:lastPrinted>2022-01-13T08:28:00Z</cp:lastPrinted>
  <dcterms:created xsi:type="dcterms:W3CDTF">2018-01-04T08:02:00Z</dcterms:created>
  <dcterms:modified xsi:type="dcterms:W3CDTF">2023-01-19T10:36:00Z</dcterms:modified>
</cp:coreProperties>
</file>