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AB" w:rsidRPr="000C4EDC" w:rsidRDefault="00A94FAB" w:rsidP="000C4EDC">
      <w:pPr>
        <w:pStyle w:val="Default"/>
        <w:spacing w:line="360" w:lineRule="auto"/>
        <w:jc w:val="right"/>
        <w:rPr>
          <w:rFonts w:ascii="Times New Roman" w:hAnsi="Times New Roman" w:cs="Times New Roman"/>
          <w:b/>
          <w:i/>
        </w:rPr>
      </w:pPr>
      <w:proofErr w:type="spellStart"/>
      <w:r w:rsidRPr="000C4EDC">
        <w:rPr>
          <w:rFonts w:ascii="Times New Roman" w:hAnsi="Times New Roman" w:cs="Times New Roman"/>
          <w:b/>
          <w:i/>
        </w:rPr>
        <w:t>Anexa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 la HCL nr. _____________</w:t>
      </w:r>
    </w:p>
    <w:p w:rsidR="00A94FAB" w:rsidRDefault="00A94FAB" w:rsidP="000C4ED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r w:rsidRPr="000C4EDC">
        <w:rPr>
          <w:rFonts w:ascii="Times New Roman" w:hAnsi="Times New Roman" w:cs="Times New Roman"/>
          <w:b/>
          <w:i/>
        </w:rPr>
        <w:t>Planul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0C4EDC">
        <w:rPr>
          <w:rFonts w:ascii="Times New Roman" w:hAnsi="Times New Roman" w:cs="Times New Roman"/>
          <w:b/>
          <w:i/>
        </w:rPr>
        <w:t>măsuri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pentru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reducerea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graduală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0C4EDC">
        <w:rPr>
          <w:rFonts w:ascii="Times New Roman" w:hAnsi="Times New Roman" w:cs="Times New Roman"/>
          <w:b/>
          <w:i/>
        </w:rPr>
        <w:t>sumelor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necesare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acoperirii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diferenţei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dintre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preţul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0C4EDC">
        <w:rPr>
          <w:rFonts w:ascii="Times New Roman" w:hAnsi="Times New Roman" w:cs="Times New Roman"/>
          <w:b/>
          <w:i/>
        </w:rPr>
        <w:t>producere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, transport, </w:t>
      </w:r>
      <w:proofErr w:type="spellStart"/>
      <w:r w:rsidRPr="000C4EDC">
        <w:rPr>
          <w:rFonts w:ascii="Times New Roman" w:hAnsi="Times New Roman" w:cs="Times New Roman"/>
          <w:b/>
          <w:i/>
        </w:rPr>
        <w:t>distribuţie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şi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furnizare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0C4EDC">
        <w:rPr>
          <w:rFonts w:ascii="Times New Roman" w:hAnsi="Times New Roman" w:cs="Times New Roman"/>
          <w:b/>
          <w:i/>
        </w:rPr>
        <w:t>a</w:t>
      </w:r>
      <w:proofErr w:type="gram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energiei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termice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livrate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populaţiei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şi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preţul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local al </w:t>
      </w:r>
      <w:proofErr w:type="spellStart"/>
      <w:r w:rsidRPr="000C4EDC">
        <w:rPr>
          <w:rFonts w:ascii="Times New Roman" w:hAnsi="Times New Roman" w:cs="Times New Roman"/>
          <w:b/>
          <w:i/>
        </w:rPr>
        <w:t>energiei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termice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facturate</w:t>
      </w:r>
      <w:proofErr w:type="spellEnd"/>
      <w:r w:rsidRPr="000C4ED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C4EDC">
        <w:rPr>
          <w:rFonts w:ascii="Times New Roman" w:hAnsi="Times New Roman" w:cs="Times New Roman"/>
          <w:b/>
          <w:i/>
        </w:rPr>
        <w:t>populaţiei</w:t>
      </w:r>
      <w:proofErr w:type="spellEnd"/>
    </w:p>
    <w:tbl>
      <w:tblPr>
        <w:tblStyle w:val="TableGrid"/>
        <w:tblW w:w="10440" w:type="dxa"/>
        <w:tblInd w:w="-432" w:type="dxa"/>
        <w:tblLook w:val="04A0"/>
      </w:tblPr>
      <w:tblGrid>
        <w:gridCol w:w="990"/>
        <w:gridCol w:w="6390"/>
        <w:gridCol w:w="3060"/>
      </w:tblGrid>
      <w:tr w:rsidR="000C104B" w:rsidRPr="000C4EDC" w:rsidTr="00876B36">
        <w:trPr>
          <w:trHeight w:val="1858"/>
        </w:trPr>
        <w:tc>
          <w:tcPr>
            <w:tcW w:w="10440" w:type="dxa"/>
            <w:gridSpan w:val="3"/>
            <w:shd w:val="clear" w:color="auto" w:fill="D9D9D9" w:themeFill="background1" w:themeFillShade="D9"/>
          </w:tcPr>
          <w:p w:rsidR="000C104B" w:rsidRDefault="000C104B" w:rsidP="000C104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104B" w:rsidRPr="000C104B" w:rsidRDefault="000C104B" w:rsidP="00B15E9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Măsuri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investiționale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eficientizare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activităților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producere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transport,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distribuție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furnizare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energiei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termice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, de</w:t>
            </w:r>
            <w:r w:rsidRPr="000C4EDC">
              <w:rPr>
                <w:rStyle w:val="slitbdy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reducere a pierderilor tehnologice</w:t>
            </w:r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asigurarea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accesului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unei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largi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categorii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populație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propuse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a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fi</w:t>
            </w:r>
            <w:proofErr w:type="spellEnd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z w:val="24"/>
                <w:szCs w:val="24"/>
              </w:rPr>
              <w:t>realiz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spectru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10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ani</w:t>
            </w:r>
            <w:proofErr w:type="spellEnd"/>
          </w:p>
        </w:tc>
      </w:tr>
      <w:tr w:rsidR="000C104B" w:rsidRPr="000C4EDC" w:rsidTr="000C104B">
        <w:trPr>
          <w:trHeight w:val="715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004BD4" w:rsidRPr="000C4EDC" w:rsidRDefault="00004BD4" w:rsidP="000C10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="000C10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90" w:type="dxa"/>
            <w:shd w:val="clear" w:color="auto" w:fill="D9D9D9" w:themeFill="background1" w:themeFillShade="D9"/>
            <w:vAlign w:val="center"/>
          </w:tcPr>
          <w:p w:rsidR="00004BD4" w:rsidRPr="000C4EDC" w:rsidRDefault="000C104B" w:rsidP="000C10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BD4" w:rsidRPr="000C4EDC">
              <w:rPr>
                <w:rFonts w:ascii="Times New Roman" w:hAnsi="Times New Roman" w:cs="Times New Roman"/>
                <w:sz w:val="24"/>
                <w:szCs w:val="24"/>
              </w:rPr>
              <w:t>investiți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onală</w:t>
            </w:r>
            <w:proofErr w:type="spellEnd"/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004BD4" w:rsidRPr="000C4EDC" w:rsidRDefault="00004BD4" w:rsidP="000C10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04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finanțare</w:t>
            </w:r>
            <w:proofErr w:type="spellEnd"/>
          </w:p>
        </w:tc>
      </w:tr>
      <w:tr w:rsidR="00004BD4" w:rsidRPr="000C4EDC" w:rsidTr="00876B36">
        <w:trPr>
          <w:trHeight w:val="814"/>
        </w:trPr>
        <w:tc>
          <w:tcPr>
            <w:tcW w:w="990" w:type="dxa"/>
            <w:vAlign w:val="center"/>
          </w:tcPr>
          <w:p w:rsidR="00004BD4" w:rsidRPr="000C4EDC" w:rsidRDefault="00004BD4" w:rsidP="00876B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90" w:type="dxa"/>
            <w:vAlign w:val="center"/>
          </w:tcPr>
          <w:p w:rsidR="00004BD4" w:rsidRPr="00876B36" w:rsidRDefault="00876B36" w:rsidP="00876B36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Strategia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Alimentare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Energie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Termică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municipiul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Timişoara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perioada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2022 – 2030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perspectiva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2050</w:t>
            </w:r>
          </w:p>
        </w:tc>
        <w:tc>
          <w:tcPr>
            <w:tcW w:w="3060" w:type="dxa"/>
            <w:vAlign w:val="center"/>
          </w:tcPr>
          <w:p w:rsidR="00004BD4" w:rsidRPr="000C4EDC" w:rsidRDefault="00004BD4" w:rsidP="00876B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</w:tc>
      </w:tr>
      <w:tr w:rsidR="00004BD4" w:rsidRPr="000C4EDC" w:rsidTr="00876B36">
        <w:trPr>
          <w:trHeight w:val="1354"/>
        </w:trPr>
        <w:tc>
          <w:tcPr>
            <w:tcW w:w="990" w:type="dxa"/>
            <w:vAlign w:val="center"/>
          </w:tcPr>
          <w:p w:rsidR="00004BD4" w:rsidRPr="000C4EDC" w:rsidRDefault="00004BD4" w:rsidP="00876B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90" w:type="dxa"/>
            <w:vAlign w:val="center"/>
          </w:tcPr>
          <w:p w:rsidR="00004BD4" w:rsidRPr="00876B36" w:rsidRDefault="00876B36" w:rsidP="00876B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Retehnologizarea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centralizat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termoficare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municipiul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Timişoara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conformării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normele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emisiile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poluante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aer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creşterea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eficienţei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alimentarea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căldură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urbană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3060" w:type="dxa"/>
            <w:vAlign w:val="center"/>
          </w:tcPr>
          <w:p w:rsidR="00876B36" w:rsidRDefault="00876B36" w:rsidP="00876B36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0C4EDC">
              <w:rPr>
                <w:rFonts w:ascii="Times New Roman" w:hAnsi="Times New Roman" w:cs="Times New Roman"/>
                <w:bCs/>
                <w:spacing w:val="-1"/>
              </w:rPr>
              <w:t>Programul</w:t>
            </w:r>
            <w:proofErr w:type="spellEnd"/>
            <w:r w:rsidRPr="000C4EDC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pacing w:val="-1"/>
              </w:rPr>
              <w:t>Operaţional</w:t>
            </w:r>
            <w:proofErr w:type="spellEnd"/>
            <w:r w:rsidRPr="000C4EDC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  <w:spacing w:val="-1"/>
              </w:rPr>
              <w:t>Infrastructură</w:t>
            </w:r>
            <w:proofErr w:type="spellEnd"/>
            <w:r w:rsidRPr="000C4EDC">
              <w:rPr>
                <w:rFonts w:ascii="Times New Roman" w:hAnsi="Times New Roman" w:cs="Times New Roman"/>
                <w:bCs/>
                <w:spacing w:val="-1"/>
              </w:rPr>
              <w:t xml:space="preserve"> Mare (POIM)</w:t>
            </w:r>
          </w:p>
          <w:p w:rsidR="00004BD4" w:rsidRPr="000C4EDC" w:rsidRDefault="00004BD4" w:rsidP="00876B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BD4" w:rsidRPr="000C4EDC" w:rsidTr="00876B36">
        <w:trPr>
          <w:trHeight w:val="1129"/>
        </w:trPr>
        <w:tc>
          <w:tcPr>
            <w:tcW w:w="990" w:type="dxa"/>
            <w:vAlign w:val="center"/>
          </w:tcPr>
          <w:p w:rsidR="00004BD4" w:rsidRPr="000C4EDC" w:rsidRDefault="00004BD4" w:rsidP="00876B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90" w:type="dxa"/>
            <w:vAlign w:val="center"/>
          </w:tcPr>
          <w:p w:rsidR="00004BD4" w:rsidRPr="000C4EDC" w:rsidRDefault="00876B36" w:rsidP="00876B3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Modernizarea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sistemului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alimentare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energie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bCs/>
              </w:rPr>
              <w:t>termică</w:t>
            </w:r>
            <w:proofErr w:type="spellEnd"/>
            <w:r w:rsidRPr="000C4E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prin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lucrări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în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surse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0C4EDC">
              <w:rPr>
                <w:rFonts w:ascii="Times New Roman" w:hAnsi="Times New Roman" w:cs="Times New Roman"/>
              </w:rPr>
              <w:t>energie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termică</w:t>
            </w:r>
            <w:proofErr w:type="spellEnd"/>
          </w:p>
        </w:tc>
        <w:tc>
          <w:tcPr>
            <w:tcW w:w="3060" w:type="dxa"/>
            <w:vAlign w:val="center"/>
          </w:tcPr>
          <w:p w:rsidR="00876B36" w:rsidRDefault="00876B36" w:rsidP="0087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  <w:p w:rsidR="00876B36" w:rsidRDefault="00876B36" w:rsidP="0087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stat</w:t>
            </w:r>
          </w:p>
          <w:p w:rsidR="00004BD4" w:rsidRPr="00876B36" w:rsidRDefault="00876B36" w:rsidP="00876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Fonduri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nerambursabile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4BD4" w:rsidRPr="000C4EDC" w:rsidTr="00876B36">
        <w:trPr>
          <w:trHeight w:val="1075"/>
        </w:trPr>
        <w:tc>
          <w:tcPr>
            <w:tcW w:w="990" w:type="dxa"/>
            <w:vAlign w:val="center"/>
          </w:tcPr>
          <w:p w:rsidR="00004BD4" w:rsidRPr="000C4EDC" w:rsidRDefault="00004BD4" w:rsidP="00876B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90" w:type="dxa"/>
            <w:vAlign w:val="center"/>
          </w:tcPr>
          <w:p w:rsidR="00004BD4" w:rsidRPr="000C4EDC" w:rsidRDefault="00004BD4" w:rsidP="00876B3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4EDC">
              <w:rPr>
                <w:rFonts w:ascii="Times New Roman" w:hAnsi="Times New Roman" w:cs="Times New Roman"/>
              </w:rPr>
              <w:t>Modernizarea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rețelei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de transport </w:t>
            </w:r>
            <w:proofErr w:type="spellStart"/>
            <w:r w:rsidRPr="000C4EDC">
              <w:rPr>
                <w:rFonts w:ascii="Times New Roman" w:hAnsi="Times New Roman" w:cs="Times New Roman"/>
              </w:rPr>
              <w:t>apă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fierbinte</w:t>
            </w:r>
            <w:proofErr w:type="spellEnd"/>
          </w:p>
          <w:p w:rsidR="00004BD4" w:rsidRPr="000C4EDC" w:rsidRDefault="00004BD4" w:rsidP="00876B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876B36" w:rsidRDefault="00876B36" w:rsidP="0087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  <w:p w:rsidR="00876B36" w:rsidRDefault="00876B36" w:rsidP="0087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stat</w:t>
            </w:r>
          </w:p>
          <w:p w:rsidR="00004BD4" w:rsidRPr="00876B36" w:rsidRDefault="00876B36" w:rsidP="00876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Fonduri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nerambursabile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4BD4" w:rsidRPr="000C4EDC" w:rsidTr="00876B36">
        <w:tc>
          <w:tcPr>
            <w:tcW w:w="990" w:type="dxa"/>
            <w:vAlign w:val="center"/>
          </w:tcPr>
          <w:p w:rsidR="00004BD4" w:rsidRPr="000C4EDC" w:rsidRDefault="00004BD4" w:rsidP="00876B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90" w:type="dxa"/>
            <w:vAlign w:val="center"/>
          </w:tcPr>
          <w:p w:rsidR="00004BD4" w:rsidRPr="000C4EDC" w:rsidRDefault="00004BD4" w:rsidP="00876B3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4EDC">
              <w:rPr>
                <w:rFonts w:ascii="Times New Roman" w:hAnsi="Times New Roman" w:cs="Times New Roman"/>
              </w:rPr>
              <w:t>Modernizare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puncte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termice</w:t>
            </w:r>
            <w:proofErr w:type="spellEnd"/>
          </w:p>
          <w:p w:rsidR="00004BD4" w:rsidRPr="000C4EDC" w:rsidRDefault="00004BD4" w:rsidP="00876B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876B36" w:rsidRDefault="00876B36" w:rsidP="0087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  <w:p w:rsidR="00876B36" w:rsidRDefault="00876B36" w:rsidP="0087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stat</w:t>
            </w:r>
          </w:p>
          <w:p w:rsidR="00004BD4" w:rsidRPr="00876B36" w:rsidRDefault="00876B36" w:rsidP="00876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Fonduri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nerambursabile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4BD4" w:rsidRPr="000C4EDC" w:rsidTr="00876B36">
        <w:tc>
          <w:tcPr>
            <w:tcW w:w="990" w:type="dxa"/>
            <w:vAlign w:val="center"/>
          </w:tcPr>
          <w:p w:rsidR="00004BD4" w:rsidRPr="000C4EDC" w:rsidRDefault="00004BD4" w:rsidP="00876B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90" w:type="dxa"/>
            <w:vAlign w:val="center"/>
          </w:tcPr>
          <w:p w:rsidR="00004BD4" w:rsidRPr="000C4EDC" w:rsidRDefault="00004BD4" w:rsidP="00876B3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4EDC">
              <w:rPr>
                <w:rFonts w:ascii="Times New Roman" w:hAnsi="Times New Roman" w:cs="Times New Roman"/>
              </w:rPr>
              <w:t>Modernizare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rețea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distribuție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agent </w:t>
            </w:r>
            <w:proofErr w:type="spellStart"/>
            <w:r w:rsidRPr="000C4EDC">
              <w:rPr>
                <w:rFonts w:ascii="Times New Roman" w:hAnsi="Times New Roman" w:cs="Times New Roman"/>
              </w:rPr>
              <w:t>termic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și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apă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caldă</w:t>
            </w:r>
            <w:proofErr w:type="spellEnd"/>
            <w:r w:rsidRPr="000C4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</w:rPr>
              <w:t>menajeră</w:t>
            </w:r>
            <w:proofErr w:type="spellEnd"/>
          </w:p>
          <w:p w:rsidR="00004BD4" w:rsidRPr="000C4EDC" w:rsidRDefault="00004BD4" w:rsidP="00876B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876B36" w:rsidRDefault="00876B36" w:rsidP="0087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  <w:p w:rsidR="00876B36" w:rsidRDefault="00876B36" w:rsidP="0087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stat</w:t>
            </w:r>
          </w:p>
          <w:p w:rsidR="00004BD4" w:rsidRPr="00876B36" w:rsidRDefault="00876B36" w:rsidP="00876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Fonduri</w:t>
            </w:r>
            <w:proofErr w:type="spellEnd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EDC">
              <w:rPr>
                <w:rFonts w:ascii="Times New Roman" w:hAnsi="Times New Roman" w:cs="Times New Roman"/>
                <w:sz w:val="24"/>
                <w:szCs w:val="24"/>
              </w:rPr>
              <w:t>nerambursabile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B0FB6" w:rsidRDefault="00AB0FB6" w:rsidP="00AB0FB6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:rsidR="00A94FAB" w:rsidRPr="000C4EDC" w:rsidRDefault="00AB0FB6" w:rsidP="00AB0F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Investițiile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descrise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sus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estimate global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rolul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necesar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investiții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spectru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10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față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atât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nivel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SACET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decarbonizarea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acestuia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cât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nivelul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consumatorilor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fi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implementate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fonduri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bugetul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local,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bugetul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stat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fonduri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nerambursabile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funcție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disponibilitățile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axele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deschise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aprobate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Guvernul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României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>ministerele</w:t>
      </w:r>
      <w:proofErr w:type="spellEnd"/>
      <w:r w:rsidRPr="00AB0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resort.</w:t>
      </w:r>
    </w:p>
    <w:sectPr w:rsidR="00A94FAB" w:rsidRPr="000C4EDC" w:rsidSect="000C4ED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4FAB"/>
    <w:rsid w:val="00004BD4"/>
    <w:rsid w:val="000C104B"/>
    <w:rsid w:val="000C4EDC"/>
    <w:rsid w:val="001B5655"/>
    <w:rsid w:val="001C7182"/>
    <w:rsid w:val="003A6831"/>
    <w:rsid w:val="005032C1"/>
    <w:rsid w:val="005C6561"/>
    <w:rsid w:val="005F2023"/>
    <w:rsid w:val="00876B36"/>
    <w:rsid w:val="00A94FAB"/>
    <w:rsid w:val="00AB0FB6"/>
    <w:rsid w:val="00B15E92"/>
    <w:rsid w:val="00D110B1"/>
    <w:rsid w:val="00EC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4FA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slitttl">
    <w:name w:val="s_lit_ttl"/>
    <w:basedOn w:val="DefaultParagraphFont"/>
    <w:rsid w:val="00A94FAB"/>
  </w:style>
  <w:style w:type="character" w:customStyle="1" w:styleId="slitbdy">
    <w:name w:val="s_lit_bdy"/>
    <w:basedOn w:val="DefaultParagraphFont"/>
    <w:rsid w:val="00A94FAB"/>
  </w:style>
  <w:style w:type="table" w:styleId="TableGrid">
    <w:name w:val="Table Grid"/>
    <w:basedOn w:val="TableNormal"/>
    <w:uiPriority w:val="59"/>
    <w:rsid w:val="001C71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AB0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5949-4EA1-44CC-BFEC-39EA023F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cfrumosu</cp:lastModifiedBy>
  <cp:revision>6</cp:revision>
  <cp:lastPrinted>2023-12-18T07:08:00Z</cp:lastPrinted>
  <dcterms:created xsi:type="dcterms:W3CDTF">2023-11-23T11:43:00Z</dcterms:created>
  <dcterms:modified xsi:type="dcterms:W3CDTF">2023-12-18T07:08:00Z</dcterms:modified>
</cp:coreProperties>
</file>