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13BF" w14:textId="77777777" w:rsidR="001A17D3" w:rsidRPr="003915A5" w:rsidRDefault="001A17D3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</w:p>
    <w:p w14:paraId="77808516" w14:textId="77777777" w:rsidR="00260E4C" w:rsidRPr="003915A5" w:rsidRDefault="001A17D3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>MUNICIPIUL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TIMIŞOARA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 w:rsidR="00341912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14:paraId="187EA331" w14:textId="77777777" w:rsidR="00341912" w:rsidRPr="003915A5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  <w:r w:rsidR="003915A5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DIRECŢIA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>ECONOMICA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</w:t>
      </w:r>
      <w:r w:rsidR="00275486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2B3D92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275486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</w:t>
      </w:r>
      <w:r w:rsidR="00260E4C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</w:t>
      </w:r>
      <w:r w:rsidR="0072225E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</w:t>
      </w:r>
      <w:r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</w:t>
      </w:r>
      <w:r w:rsidR="0072225E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610FB8" w:rsidRPr="003915A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</w:t>
      </w:r>
    </w:p>
    <w:p w14:paraId="4D474E90" w14:textId="77777777" w:rsidR="00341912" w:rsidRPr="00260E4C" w:rsidRDefault="00B5746A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915A5">
        <w:rPr>
          <w:rFonts w:ascii="Times New Roman" w:hAnsi="Times New Roman" w:cs="Times New Roman"/>
          <w:sz w:val="20"/>
          <w:szCs w:val="20"/>
          <w:lang w:val="ro-RO"/>
        </w:rPr>
        <w:t>NR. SC</w:t>
      </w:r>
      <w:r w:rsidR="00C0746B">
        <w:rPr>
          <w:rFonts w:ascii="Times New Roman" w:hAnsi="Times New Roman" w:cs="Times New Roman"/>
          <w:sz w:val="20"/>
          <w:szCs w:val="20"/>
          <w:lang w:val="ro-RO"/>
        </w:rPr>
        <w:t xml:space="preserve"> 2023-</w:t>
      </w:r>
      <w:r w:rsidR="004D7F7A">
        <w:rPr>
          <w:rFonts w:ascii="Times New Roman" w:hAnsi="Times New Roman" w:cs="Times New Roman"/>
          <w:sz w:val="20"/>
          <w:szCs w:val="20"/>
          <w:lang w:val="ro-RO"/>
        </w:rPr>
        <w:t>1502/18.01.2023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39DDA41" w14:textId="77777777" w:rsidR="00A66E37" w:rsidRDefault="00341912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17D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19CAD7B1" w14:textId="77777777" w:rsidR="001D084A" w:rsidRPr="00ED5605" w:rsidRDefault="001D084A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5C1603E" w14:textId="77777777" w:rsidR="004714AE" w:rsidRPr="004714AE" w:rsidRDefault="004714AE" w:rsidP="004714A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REFERAT DE APROBARE </w:t>
      </w:r>
      <w:proofErr w:type="gramStart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  PROIECTULUI</w:t>
      </w:r>
      <w:proofErr w:type="gramEnd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DE HOTĂRÂRE</w:t>
      </w:r>
    </w:p>
    <w:p w14:paraId="3695F42E" w14:textId="77777777" w:rsidR="003915A5" w:rsidRDefault="004714AE" w:rsidP="003915A5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14:paraId="31C55164" w14:textId="77777777" w:rsidR="003915A5" w:rsidRPr="00F73D3F" w:rsidRDefault="00CF1F37" w:rsidP="00F73D3F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>utilizarii excedentului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aferent bugetului de fonduri externe nerambursabile</w:t>
      </w: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>, afl</w:t>
      </w:r>
      <w:r w:rsidR="005E0D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at in sold la data de </w:t>
      </w:r>
      <w:r w:rsidR="00BD5079">
        <w:rPr>
          <w:rFonts w:ascii="Times New Roman" w:hAnsi="Times New Roman" w:cs="Times New Roman"/>
          <w:b/>
          <w:sz w:val="24"/>
          <w:szCs w:val="24"/>
          <w:lang w:val="ro-RO"/>
        </w:rPr>
        <w:t>31</w:t>
      </w:r>
      <w:r w:rsidR="00C0746B">
        <w:rPr>
          <w:rFonts w:ascii="Times New Roman" w:hAnsi="Times New Roman" w:cs="Times New Roman"/>
          <w:b/>
          <w:sz w:val="24"/>
          <w:szCs w:val="24"/>
          <w:lang w:val="ro-RO"/>
        </w:rPr>
        <w:t>.12.2022</w:t>
      </w:r>
    </w:p>
    <w:p w14:paraId="79D04A82" w14:textId="77777777" w:rsidR="005E0DF0" w:rsidRPr="00831DE0" w:rsidRDefault="005E0DF0" w:rsidP="005E0DF0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prevederile aferente Legii nr. 273/2006 a Finantelor Publice Locale, art. 58,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precum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restante,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14:paraId="46C74D9E" w14:textId="77777777" w:rsidR="005E0DF0" w:rsidRPr="00B108DD" w:rsidRDefault="005E0DF0" w:rsidP="005E0DF0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66F991EB" w14:textId="77777777" w:rsidR="005E0DF0" w:rsidRPr="00B108DD" w:rsidRDefault="005E0DF0" w:rsidP="005E0DF0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temporară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golurilor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provenite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decalajele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între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curent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disponibilului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aplicării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prevederilor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Pr="00B108DD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lit. a)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0F5FD750" w14:textId="77777777" w:rsidR="005E0DF0" w:rsidRPr="00B108DD" w:rsidRDefault="005E0DF0" w:rsidP="005E0D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</w:t>
      </w:r>
      <w:proofErr w:type="gram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14:paraId="6AD3E3F6" w14:textId="77777777" w:rsidR="005E0DF0" w:rsidRPr="0088464F" w:rsidRDefault="005E0DF0" w:rsidP="005E0DF0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respective;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 </w:t>
      </w:r>
    </w:p>
    <w:p w14:paraId="5DDD54A5" w14:textId="77777777" w:rsidR="005E0DF0" w:rsidRPr="00D63D96" w:rsidRDefault="005E0DF0" w:rsidP="005E0DF0">
      <w:pPr>
        <w:spacing w:after="0"/>
        <w:ind w:firstLine="720"/>
        <w:jc w:val="both"/>
        <w:rPr>
          <w:rStyle w:val="salnbdy"/>
          <w:rFonts w:ascii="Times New Roman" w:hAnsi="Times New Roman"/>
          <w:color w:val="auto"/>
          <w:sz w:val="24"/>
          <w:szCs w:val="24"/>
        </w:rPr>
      </w:pPr>
      <w:r w:rsidRPr="0088464F">
        <w:rPr>
          <w:rStyle w:val="salnbdy"/>
          <w:rFonts w:ascii="Times New Roman" w:hAnsi="Times New Roman"/>
          <w:color w:val="auto"/>
          <w:sz w:val="24"/>
          <w:szCs w:val="24"/>
        </w:rPr>
        <w:t xml:space="preserve"> (1^2)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Prefinanțarea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acordată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beneficiarilor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care au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calitatea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ordonatori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credite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ai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bugetului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local,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rămasă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neutilizată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la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finele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exercițiului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bugetar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, se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reflectă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excedentul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bugetului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local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și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se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utilizează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anul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următor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aceeași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destinație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cadrul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secțiunii</w:t>
      </w:r>
      <w:proofErr w:type="spellEnd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C075BC">
        <w:rPr>
          <w:rStyle w:val="salnbdy"/>
          <w:rFonts w:ascii="Times New Roman" w:hAnsi="Times New Roman"/>
          <w:color w:val="auto"/>
          <w:sz w:val="24"/>
          <w:szCs w:val="24"/>
        </w:rPr>
        <w:t>dezvoltare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</w:rPr>
        <w:t>;</w:t>
      </w:r>
    </w:p>
    <w:p w14:paraId="0F051696" w14:textId="77777777" w:rsidR="005E0DF0" w:rsidRPr="0088464F" w:rsidRDefault="005E0DF0" w:rsidP="005E0DF0">
      <w:pPr>
        <w:tabs>
          <w:tab w:val="left" w:pos="0"/>
        </w:tabs>
        <w:spacing w:after="0"/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</w:pP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ab/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conformitate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prevederile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art. 129,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2 lit. b,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n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4 lit. a, art. 139,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alin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. 3 </w:t>
      </w:r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din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Ordonanta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Urgenta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nr. 57/2019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Codul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Administrativ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;</w:t>
      </w:r>
    </w:p>
    <w:p w14:paraId="51402766" w14:textId="77777777" w:rsidR="00CF1F37" w:rsidRPr="005E0DF0" w:rsidRDefault="005E0DF0" w:rsidP="005E0DF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Finantelor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 4271</w:t>
      </w:r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/</w:t>
      </w:r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15.12.2022</w:t>
      </w:r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Normelor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metodologice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</w:t>
      </w:r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rciţiului</w:t>
      </w:r>
      <w:proofErr w:type="spellEnd"/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="00C0746B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2022</w:t>
      </w:r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V,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local”;</w:t>
      </w:r>
      <w:r w:rsidRPr="00C159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53442A8" w14:textId="77777777" w:rsidR="003915A5" w:rsidRDefault="004172EF" w:rsidP="004172EF">
      <w:pPr>
        <w:spacing w:after="0"/>
        <w:ind w:left="-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17D3">
        <w:rPr>
          <w:rFonts w:ascii="Times New Roman" w:hAnsi="Times New Roman" w:cs="Times New Roman"/>
          <w:sz w:val="24"/>
          <w:szCs w:val="24"/>
        </w:rPr>
        <w:tab/>
      </w:r>
      <w:r w:rsidR="001A17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Tinand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cont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cele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enumerate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mai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sus,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apreciez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ca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fiind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oportuna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promovarea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proiectului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 xml:space="preserve">hotarare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privind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 xml:space="preserve">aprobarea </w:t>
      </w:r>
      <w:proofErr w:type="spellStart"/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>utilizarii</w:t>
      </w:r>
      <w:proofErr w:type="spellEnd"/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 xml:space="preserve"> excedentului aferent bugetului de fonduri externe </w:t>
      </w:r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ab/>
        <w:t>nerambursabile, afl</w:t>
      </w:r>
      <w:r w:rsidR="00BD5079">
        <w:rPr>
          <w:rFonts w:ascii="Times New Roman" w:hAnsi="Times New Roman" w:cs="Times New Roman"/>
          <w:sz w:val="24"/>
          <w:szCs w:val="24"/>
          <w:lang w:val="ro-RO"/>
        </w:rPr>
        <w:t>at in sold la data de 31</w:t>
      </w:r>
      <w:r w:rsidR="00C0746B">
        <w:rPr>
          <w:rFonts w:ascii="Times New Roman" w:hAnsi="Times New Roman" w:cs="Times New Roman"/>
          <w:sz w:val="24"/>
          <w:szCs w:val="24"/>
          <w:lang w:val="ro-RO"/>
        </w:rPr>
        <w:t>.12.2022</w:t>
      </w:r>
      <w:r w:rsidR="001A17D3" w:rsidRPr="001A17D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supun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dezbaterii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Consiliului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Local </w:t>
      </w:r>
      <w:r w:rsid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documentatia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aferenta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60EDEF43" w14:textId="77777777" w:rsidR="00F73D3F" w:rsidRPr="003915A5" w:rsidRDefault="00F73D3F" w:rsidP="004172EF">
      <w:pPr>
        <w:spacing w:after="0"/>
        <w:ind w:left="-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2300BB14" w14:textId="500F503E" w:rsidR="002629DB" w:rsidRPr="00F24EEB" w:rsidRDefault="001A17D3" w:rsidP="001A17D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A88" w:rsidRPr="00F24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6E37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 xml:space="preserve"> PRIMAR,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ab/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CE4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>DIRECTOR ECONOMIC,</w:t>
      </w:r>
    </w:p>
    <w:p w14:paraId="6E15AAA8" w14:textId="756F7603" w:rsidR="00391EBF" w:rsidRPr="00F24EEB" w:rsidRDefault="00C24332" w:rsidP="004172EF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DOMINIC FRITZ       </w:t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171D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EEB">
        <w:rPr>
          <w:rFonts w:ascii="Times New Roman" w:hAnsi="Times New Roman" w:cs="Times New Roman"/>
          <w:b/>
          <w:sz w:val="24"/>
          <w:szCs w:val="24"/>
        </w:rPr>
        <w:t>STELIANA STANCIU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2DB4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D3F" w:rsidRPr="00F24EE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91EBF" w:rsidRPr="00F24EEB" w:rsidSect="001A17D3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6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912"/>
    <w:rsid w:val="00021475"/>
    <w:rsid w:val="00021855"/>
    <w:rsid w:val="00047505"/>
    <w:rsid w:val="00067B4F"/>
    <w:rsid w:val="000C1039"/>
    <w:rsid w:val="000D2152"/>
    <w:rsid w:val="00114B3D"/>
    <w:rsid w:val="00121987"/>
    <w:rsid w:val="00127DDA"/>
    <w:rsid w:val="00140AA3"/>
    <w:rsid w:val="00140CBC"/>
    <w:rsid w:val="00171D9D"/>
    <w:rsid w:val="001A17D3"/>
    <w:rsid w:val="001B1565"/>
    <w:rsid w:val="001D084A"/>
    <w:rsid w:val="001D55ED"/>
    <w:rsid w:val="001E20B8"/>
    <w:rsid w:val="00230820"/>
    <w:rsid w:val="00241B0B"/>
    <w:rsid w:val="00260E4C"/>
    <w:rsid w:val="002629DB"/>
    <w:rsid w:val="0026654A"/>
    <w:rsid w:val="00275486"/>
    <w:rsid w:val="002B3D92"/>
    <w:rsid w:val="002E5610"/>
    <w:rsid w:val="002F25BB"/>
    <w:rsid w:val="00331FD7"/>
    <w:rsid w:val="00341912"/>
    <w:rsid w:val="003465F0"/>
    <w:rsid w:val="0035209D"/>
    <w:rsid w:val="00361514"/>
    <w:rsid w:val="003878D7"/>
    <w:rsid w:val="003915A5"/>
    <w:rsid w:val="00391EBF"/>
    <w:rsid w:val="003E40DA"/>
    <w:rsid w:val="004058A3"/>
    <w:rsid w:val="004172EF"/>
    <w:rsid w:val="004714AE"/>
    <w:rsid w:val="004D7F7A"/>
    <w:rsid w:val="004F3F98"/>
    <w:rsid w:val="00522CE5"/>
    <w:rsid w:val="00532DB4"/>
    <w:rsid w:val="0054763F"/>
    <w:rsid w:val="00563EB6"/>
    <w:rsid w:val="005667BE"/>
    <w:rsid w:val="00566BCA"/>
    <w:rsid w:val="00567DEC"/>
    <w:rsid w:val="00590F32"/>
    <w:rsid w:val="005A11D9"/>
    <w:rsid w:val="005B7DD7"/>
    <w:rsid w:val="005C0E01"/>
    <w:rsid w:val="005E0DF0"/>
    <w:rsid w:val="005F6F5C"/>
    <w:rsid w:val="00600C60"/>
    <w:rsid w:val="00610FB8"/>
    <w:rsid w:val="006110F0"/>
    <w:rsid w:val="00635982"/>
    <w:rsid w:val="00636378"/>
    <w:rsid w:val="00646E59"/>
    <w:rsid w:val="0066150B"/>
    <w:rsid w:val="006C09C7"/>
    <w:rsid w:val="006C674D"/>
    <w:rsid w:val="006E6816"/>
    <w:rsid w:val="006F45A0"/>
    <w:rsid w:val="00714915"/>
    <w:rsid w:val="00716881"/>
    <w:rsid w:val="00716A9F"/>
    <w:rsid w:val="0072225E"/>
    <w:rsid w:val="00774B97"/>
    <w:rsid w:val="0078257C"/>
    <w:rsid w:val="007A4D3D"/>
    <w:rsid w:val="007E5F12"/>
    <w:rsid w:val="007E797A"/>
    <w:rsid w:val="00831DE0"/>
    <w:rsid w:val="00833A88"/>
    <w:rsid w:val="00837C17"/>
    <w:rsid w:val="00840B02"/>
    <w:rsid w:val="00843563"/>
    <w:rsid w:val="00884D25"/>
    <w:rsid w:val="008D3116"/>
    <w:rsid w:val="008E6DB3"/>
    <w:rsid w:val="008E7EFA"/>
    <w:rsid w:val="00901ECF"/>
    <w:rsid w:val="00920A65"/>
    <w:rsid w:val="009730E9"/>
    <w:rsid w:val="009907E5"/>
    <w:rsid w:val="009A2ED2"/>
    <w:rsid w:val="009A4064"/>
    <w:rsid w:val="009B234B"/>
    <w:rsid w:val="009F589A"/>
    <w:rsid w:val="00A10ACA"/>
    <w:rsid w:val="00A145C0"/>
    <w:rsid w:val="00A20705"/>
    <w:rsid w:val="00A37379"/>
    <w:rsid w:val="00A56AEA"/>
    <w:rsid w:val="00A66E37"/>
    <w:rsid w:val="00A76842"/>
    <w:rsid w:val="00AA3258"/>
    <w:rsid w:val="00AE6E38"/>
    <w:rsid w:val="00AF6593"/>
    <w:rsid w:val="00B108DD"/>
    <w:rsid w:val="00B20F97"/>
    <w:rsid w:val="00B439E5"/>
    <w:rsid w:val="00B5746A"/>
    <w:rsid w:val="00B81CED"/>
    <w:rsid w:val="00B91566"/>
    <w:rsid w:val="00BA1E72"/>
    <w:rsid w:val="00BD5079"/>
    <w:rsid w:val="00BD717F"/>
    <w:rsid w:val="00BE463A"/>
    <w:rsid w:val="00C00B32"/>
    <w:rsid w:val="00C0746B"/>
    <w:rsid w:val="00C24332"/>
    <w:rsid w:val="00C27E49"/>
    <w:rsid w:val="00C565EB"/>
    <w:rsid w:val="00C75B23"/>
    <w:rsid w:val="00C8278F"/>
    <w:rsid w:val="00CC6A13"/>
    <w:rsid w:val="00CE2098"/>
    <w:rsid w:val="00CE47F2"/>
    <w:rsid w:val="00CF1F37"/>
    <w:rsid w:val="00D127B0"/>
    <w:rsid w:val="00D1728F"/>
    <w:rsid w:val="00D4190A"/>
    <w:rsid w:val="00D52A85"/>
    <w:rsid w:val="00D64F8D"/>
    <w:rsid w:val="00D84485"/>
    <w:rsid w:val="00DB025A"/>
    <w:rsid w:val="00DB2A36"/>
    <w:rsid w:val="00DD5D8E"/>
    <w:rsid w:val="00DE655C"/>
    <w:rsid w:val="00DF6298"/>
    <w:rsid w:val="00E00205"/>
    <w:rsid w:val="00E027DF"/>
    <w:rsid w:val="00E042A1"/>
    <w:rsid w:val="00E1363A"/>
    <w:rsid w:val="00E214EC"/>
    <w:rsid w:val="00E34B3A"/>
    <w:rsid w:val="00E52562"/>
    <w:rsid w:val="00E52CAB"/>
    <w:rsid w:val="00E5706B"/>
    <w:rsid w:val="00E608A2"/>
    <w:rsid w:val="00E8265D"/>
    <w:rsid w:val="00E86FC3"/>
    <w:rsid w:val="00E933A1"/>
    <w:rsid w:val="00E9520C"/>
    <w:rsid w:val="00EB3A32"/>
    <w:rsid w:val="00EC348C"/>
    <w:rsid w:val="00ED5605"/>
    <w:rsid w:val="00EE00C4"/>
    <w:rsid w:val="00EE605A"/>
    <w:rsid w:val="00EE745C"/>
    <w:rsid w:val="00F204A1"/>
    <w:rsid w:val="00F24EEB"/>
    <w:rsid w:val="00F44AC3"/>
    <w:rsid w:val="00F47B57"/>
    <w:rsid w:val="00F54C3D"/>
    <w:rsid w:val="00F6112A"/>
    <w:rsid w:val="00F705FC"/>
    <w:rsid w:val="00F73D3F"/>
    <w:rsid w:val="00F878A4"/>
    <w:rsid w:val="00F952E7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0A1E"/>
  <w15:docId w15:val="{CAF4DDE8-1F33-4FBF-8A9F-0B10BF8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468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Ramona RADU</cp:lastModifiedBy>
  <cp:revision>206</cp:revision>
  <cp:lastPrinted>2023-01-18T12:56:00Z</cp:lastPrinted>
  <dcterms:created xsi:type="dcterms:W3CDTF">2018-01-04T08:02:00Z</dcterms:created>
  <dcterms:modified xsi:type="dcterms:W3CDTF">2023-01-18T12:56:00Z</dcterms:modified>
</cp:coreProperties>
</file>