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177" w:rsidRPr="00C8437A" w:rsidRDefault="00AD2177" w:rsidP="00AD2177">
      <w:pPr>
        <w:jc w:val="both"/>
        <w:rPr>
          <w:b/>
          <w:color w:val="000000"/>
          <w:lang w:val="ro-RO"/>
        </w:rPr>
      </w:pPr>
      <w:r w:rsidRPr="00C8437A">
        <w:rPr>
          <w:b/>
          <w:color w:val="000000"/>
          <w:lang w:val="ro-RO"/>
        </w:rPr>
        <w:t>ROMÂNIA</w:t>
      </w:r>
      <w:r w:rsidRPr="00C8437A">
        <w:rPr>
          <w:b/>
          <w:color w:val="000000"/>
          <w:lang w:val="ro-RO"/>
        </w:rPr>
        <w:tab/>
      </w:r>
      <w:r w:rsidRPr="00C8437A">
        <w:rPr>
          <w:b/>
          <w:color w:val="000000"/>
          <w:lang w:val="ro-RO"/>
        </w:rPr>
        <w:tab/>
      </w:r>
      <w:r w:rsidRPr="00C8437A">
        <w:rPr>
          <w:b/>
          <w:color w:val="000000"/>
          <w:lang w:val="ro-RO"/>
        </w:rPr>
        <w:tab/>
      </w:r>
      <w:r w:rsidRPr="00C8437A">
        <w:rPr>
          <w:b/>
          <w:color w:val="000000"/>
          <w:lang w:val="ro-RO"/>
        </w:rPr>
        <w:tab/>
      </w:r>
    </w:p>
    <w:p w:rsidR="00AD2177" w:rsidRPr="00C8437A" w:rsidRDefault="00AD2177" w:rsidP="00AD2177">
      <w:pPr>
        <w:jc w:val="both"/>
        <w:rPr>
          <w:b/>
          <w:color w:val="000000"/>
          <w:lang w:val="ro-RO"/>
        </w:rPr>
      </w:pPr>
      <w:r w:rsidRPr="00C8437A">
        <w:rPr>
          <w:b/>
          <w:color w:val="000000"/>
          <w:lang w:val="ro-RO"/>
        </w:rPr>
        <w:t>MUNICIPIUL TIMISOARA</w:t>
      </w:r>
    </w:p>
    <w:p w:rsidR="00AD2177" w:rsidRPr="00C8437A" w:rsidRDefault="00AD2177" w:rsidP="00AD2177">
      <w:pPr>
        <w:rPr>
          <w:b/>
          <w:color w:val="000000"/>
          <w:lang w:val="ro-RO"/>
        </w:rPr>
      </w:pPr>
      <w:r w:rsidRPr="00C8437A">
        <w:rPr>
          <w:b/>
          <w:color w:val="000000"/>
          <w:lang w:val="ro-RO"/>
        </w:rPr>
        <w:t>ECHIPA DE IMPLEMENTARE A PROIECTULUI</w:t>
      </w:r>
    </w:p>
    <w:p w:rsidR="00AD2177" w:rsidRPr="00C8437A" w:rsidRDefault="00AD2177" w:rsidP="00AD2177">
      <w:pPr>
        <w:jc w:val="both"/>
        <w:rPr>
          <w:b/>
          <w:color w:val="000000"/>
          <w:lang w:val="ro-RO"/>
        </w:rPr>
      </w:pPr>
      <w:r w:rsidRPr="00C8437A">
        <w:rPr>
          <w:b/>
          <w:color w:val="000000"/>
          <w:lang w:val="ro-RO"/>
        </w:rPr>
        <w:t>Dispoziția Primarului nr.</w:t>
      </w:r>
      <w:r w:rsidRPr="00E5014F">
        <w:rPr>
          <w:b/>
          <w:color w:val="000000"/>
          <w:lang w:val="ro-RO"/>
        </w:rPr>
        <w:t xml:space="preserve"> </w:t>
      </w:r>
      <w:r>
        <w:rPr>
          <w:b/>
          <w:color w:val="000000"/>
          <w:lang w:val="ro-RO"/>
        </w:rPr>
        <w:t>1995/25.08.2022</w:t>
      </w:r>
    </w:p>
    <w:p w:rsidR="00AC626E" w:rsidRPr="00014762" w:rsidRDefault="00AD2177" w:rsidP="00AC626E">
      <w:pPr>
        <w:pBdr>
          <w:bottom w:val="single" w:sz="6" w:space="1" w:color="auto"/>
        </w:pBdr>
        <w:rPr>
          <w:b/>
          <w:color w:val="000000"/>
          <w:lang w:val="ro-RO"/>
        </w:rPr>
      </w:pPr>
      <w:r>
        <w:rPr>
          <w:b/>
          <w:color w:val="000000"/>
          <w:lang w:val="ro-RO"/>
        </w:rPr>
        <w:t>Nr. SC2023-</w:t>
      </w:r>
      <w:r w:rsidR="00AC626E" w:rsidRPr="00AC626E">
        <w:rPr>
          <w:b/>
          <w:color w:val="000000"/>
          <w:lang w:val="ro-RO"/>
        </w:rPr>
        <w:t xml:space="preserve"> </w:t>
      </w:r>
      <w:r w:rsidR="00AC626E">
        <w:rPr>
          <w:b/>
          <w:color w:val="000000"/>
          <w:lang w:val="ro-RO"/>
        </w:rPr>
        <w:t>-6689/15.03.2023</w:t>
      </w:r>
    </w:p>
    <w:p w:rsidR="00AD2177" w:rsidRPr="00C8437A" w:rsidRDefault="00AD2177" w:rsidP="00AD2177">
      <w:pPr>
        <w:pBdr>
          <w:bottom w:val="single" w:sz="6" w:space="1" w:color="auto"/>
        </w:pBdr>
        <w:rPr>
          <w:b/>
          <w:color w:val="000000"/>
          <w:lang w:val="ro-RO"/>
        </w:rPr>
      </w:pPr>
    </w:p>
    <w:p w:rsidR="00AD2177" w:rsidRPr="00C8437A" w:rsidRDefault="00AD2177" w:rsidP="00AD2177">
      <w:pPr>
        <w:spacing w:line="312" w:lineRule="auto"/>
        <w:ind w:right="141"/>
        <w:rPr>
          <w:b/>
          <w:color w:val="000000"/>
          <w:sz w:val="16"/>
          <w:szCs w:val="16"/>
          <w:u w:val="single"/>
          <w:lang w:val="ro-RO"/>
        </w:rPr>
      </w:pPr>
    </w:p>
    <w:p w:rsidR="00AD2177" w:rsidRDefault="00AD2177" w:rsidP="00AD2177">
      <w:pPr>
        <w:spacing w:line="312" w:lineRule="auto"/>
        <w:ind w:right="141"/>
        <w:rPr>
          <w:b/>
          <w:color w:val="000000"/>
          <w:sz w:val="16"/>
          <w:szCs w:val="16"/>
          <w:u w:val="single"/>
          <w:lang w:val="ro-RO"/>
        </w:rPr>
      </w:pPr>
    </w:p>
    <w:p w:rsidR="00AD2177" w:rsidRDefault="00AD2177" w:rsidP="00AD2177">
      <w:pPr>
        <w:spacing w:line="312" w:lineRule="auto"/>
        <w:ind w:right="141"/>
        <w:rPr>
          <w:b/>
          <w:color w:val="000000"/>
          <w:sz w:val="16"/>
          <w:szCs w:val="16"/>
          <w:u w:val="single"/>
          <w:lang w:val="ro-RO"/>
        </w:rPr>
      </w:pPr>
    </w:p>
    <w:p w:rsidR="00AD2177" w:rsidRPr="00C8437A" w:rsidRDefault="00AD2177" w:rsidP="00AD2177">
      <w:pPr>
        <w:spacing w:line="312" w:lineRule="auto"/>
        <w:ind w:right="141"/>
        <w:rPr>
          <w:b/>
          <w:color w:val="000000"/>
          <w:sz w:val="16"/>
          <w:szCs w:val="16"/>
          <w:u w:val="single"/>
          <w:lang w:val="ro-RO"/>
        </w:rPr>
      </w:pPr>
    </w:p>
    <w:p w:rsidR="00AD2177" w:rsidRPr="00C8437A" w:rsidRDefault="00AD2177" w:rsidP="00AD2177">
      <w:pPr>
        <w:autoSpaceDE w:val="0"/>
        <w:autoSpaceDN w:val="0"/>
        <w:adjustRightInd w:val="0"/>
        <w:ind w:right="141"/>
        <w:jc w:val="center"/>
        <w:rPr>
          <w:b/>
          <w:color w:val="000000"/>
          <w:sz w:val="22"/>
          <w:szCs w:val="22"/>
          <w:u w:val="single"/>
          <w:lang w:val="ro-RO"/>
        </w:rPr>
      </w:pPr>
      <w:r>
        <w:rPr>
          <w:b/>
          <w:color w:val="000000"/>
          <w:sz w:val="22"/>
          <w:szCs w:val="22"/>
          <w:u w:val="single"/>
          <w:lang w:val="ro-RO"/>
        </w:rPr>
        <w:t xml:space="preserve">REFERAT </w:t>
      </w:r>
      <w:r w:rsidRPr="00C8437A">
        <w:rPr>
          <w:b/>
          <w:color w:val="000000"/>
          <w:sz w:val="22"/>
          <w:szCs w:val="22"/>
          <w:u w:val="single"/>
          <w:lang w:val="ro-RO"/>
        </w:rPr>
        <w:t xml:space="preserve"> DE APROBARE A PROIECTULUI DE HOTĂRÂRE</w:t>
      </w:r>
    </w:p>
    <w:p w:rsidR="00AD2177" w:rsidRPr="001C7A5C" w:rsidRDefault="00AD2177" w:rsidP="00AD2177">
      <w:pPr>
        <w:autoSpaceDE w:val="0"/>
        <w:autoSpaceDN w:val="0"/>
        <w:adjustRightInd w:val="0"/>
        <w:ind w:right="141"/>
        <w:jc w:val="center"/>
        <w:rPr>
          <w:b/>
          <w:bCs/>
          <w:color w:val="000000"/>
          <w:lang w:val="ro-RO"/>
        </w:rPr>
      </w:pPr>
      <w:r w:rsidRPr="001C7A5C">
        <w:rPr>
          <w:b/>
          <w:bCs/>
          <w:color w:val="000000"/>
          <w:lang w:val="ro-RO"/>
        </w:rPr>
        <w:t xml:space="preserve">privind aprobarea </w:t>
      </w:r>
      <w:r>
        <w:rPr>
          <w:b/>
          <w:bCs/>
          <w:color w:val="000000"/>
          <w:lang w:val="ro-RO"/>
        </w:rPr>
        <w:t xml:space="preserve">suplimentării </w:t>
      </w:r>
      <w:r w:rsidRPr="001C7A5C">
        <w:rPr>
          <w:b/>
          <w:bCs/>
          <w:color w:val="000000"/>
          <w:lang w:val="ro-RO"/>
        </w:rPr>
        <w:t xml:space="preserve">rezervei de implementare destinată reechilibrării contractului de </w:t>
      </w:r>
      <w:r>
        <w:rPr>
          <w:b/>
          <w:bCs/>
          <w:color w:val="000000"/>
          <w:lang w:val="ro-RO"/>
        </w:rPr>
        <w:t xml:space="preserve"> </w:t>
      </w:r>
      <w:r w:rsidRPr="001C7A5C">
        <w:rPr>
          <w:b/>
          <w:bCs/>
          <w:color w:val="000000"/>
          <w:lang w:val="ro-RO"/>
        </w:rPr>
        <w:t>executie lucrari nr. nr. 78/21.09.2021 aferent proiectului ,,Exti</w:t>
      </w:r>
      <w:r>
        <w:rPr>
          <w:b/>
          <w:bCs/>
          <w:color w:val="000000"/>
          <w:lang w:val="ro-RO"/>
        </w:rPr>
        <w:t xml:space="preserve">ndere iluminat public în Parcul </w:t>
      </w:r>
      <w:r w:rsidRPr="001C7A5C">
        <w:rPr>
          <w:b/>
          <w:bCs/>
          <w:color w:val="000000"/>
          <w:lang w:val="ro-RO"/>
        </w:rPr>
        <w:t xml:space="preserve">Botanic” SMIS </w:t>
      </w:r>
      <w:r w:rsidRPr="001C7A5C">
        <w:rPr>
          <w:rFonts w:eastAsia="Calibri"/>
          <w:b/>
          <w:lang w:val="ro-RO"/>
        </w:rPr>
        <w:t>126909</w:t>
      </w:r>
      <w:r w:rsidRPr="001C7A5C">
        <w:rPr>
          <w:b/>
          <w:bCs/>
          <w:color w:val="000000"/>
          <w:lang w:val="ro-RO"/>
        </w:rPr>
        <w:t>, finanțat prin POR 2014-2020</w:t>
      </w:r>
    </w:p>
    <w:p w:rsidR="00AD2177" w:rsidRPr="00C8437A" w:rsidRDefault="00AD2177" w:rsidP="00AD2177">
      <w:pPr>
        <w:pStyle w:val="Header"/>
        <w:jc w:val="center"/>
        <w:rPr>
          <w:b/>
          <w:bCs/>
          <w:color w:val="000000"/>
          <w:sz w:val="16"/>
          <w:szCs w:val="16"/>
          <w:lang w:val="ro-RO"/>
        </w:rPr>
      </w:pPr>
    </w:p>
    <w:p w:rsidR="00AD2177" w:rsidRPr="00C8437A" w:rsidRDefault="00AD2177" w:rsidP="00AD2177">
      <w:pPr>
        <w:pStyle w:val="Header"/>
        <w:jc w:val="center"/>
        <w:rPr>
          <w:b/>
          <w:bCs/>
          <w:color w:val="000000"/>
          <w:sz w:val="16"/>
          <w:szCs w:val="16"/>
          <w:lang w:val="ro-RO"/>
        </w:rPr>
      </w:pPr>
    </w:p>
    <w:p w:rsidR="00AD2177" w:rsidRDefault="00AD2177" w:rsidP="00AD2177">
      <w:pPr>
        <w:autoSpaceDE w:val="0"/>
        <w:autoSpaceDN w:val="0"/>
        <w:adjustRightInd w:val="0"/>
        <w:ind w:right="141"/>
        <w:jc w:val="center"/>
        <w:rPr>
          <w:b/>
          <w:bCs/>
          <w:color w:val="000000"/>
          <w:sz w:val="22"/>
          <w:szCs w:val="22"/>
          <w:lang w:val="ro-RO"/>
        </w:rPr>
      </w:pPr>
    </w:p>
    <w:p w:rsidR="00AD2177" w:rsidRPr="00C8437A" w:rsidRDefault="00AD2177" w:rsidP="00AD2177">
      <w:pPr>
        <w:autoSpaceDE w:val="0"/>
        <w:autoSpaceDN w:val="0"/>
        <w:adjustRightInd w:val="0"/>
        <w:ind w:right="141"/>
        <w:jc w:val="center"/>
        <w:rPr>
          <w:b/>
          <w:bCs/>
          <w:color w:val="000000"/>
          <w:sz w:val="22"/>
          <w:szCs w:val="22"/>
          <w:lang w:val="ro-RO"/>
        </w:rPr>
      </w:pPr>
    </w:p>
    <w:p w:rsidR="00AD2177" w:rsidRPr="0072340D" w:rsidRDefault="00AD2177" w:rsidP="00AD2177">
      <w:pPr>
        <w:pStyle w:val="ListParagraph"/>
        <w:numPr>
          <w:ilvl w:val="0"/>
          <w:numId w:val="1"/>
        </w:numPr>
        <w:tabs>
          <w:tab w:val="decimal" w:pos="360"/>
          <w:tab w:val="decimal" w:pos="432"/>
        </w:tabs>
        <w:spacing w:after="0" w:line="240" w:lineRule="auto"/>
        <w:ind w:left="0" w:right="141" w:firstLine="0"/>
        <w:jc w:val="both"/>
        <w:rPr>
          <w:rFonts w:ascii="Times New Roman" w:hAnsi="Times New Roman"/>
          <w:b/>
          <w:color w:val="000000"/>
          <w:spacing w:val="-5"/>
          <w:sz w:val="24"/>
          <w:szCs w:val="24"/>
        </w:rPr>
      </w:pPr>
      <w:r w:rsidRPr="0072340D">
        <w:rPr>
          <w:rFonts w:ascii="Times New Roman" w:hAnsi="Times New Roman"/>
          <w:b/>
          <w:color w:val="000000"/>
          <w:spacing w:val="-5"/>
          <w:sz w:val="24"/>
          <w:szCs w:val="24"/>
        </w:rPr>
        <w:t>Descrierea situației actuale</w:t>
      </w:r>
    </w:p>
    <w:p w:rsidR="00AD2177" w:rsidRPr="00C8437A" w:rsidRDefault="00AD2177" w:rsidP="00AD2177">
      <w:pPr>
        <w:tabs>
          <w:tab w:val="left" w:pos="851"/>
          <w:tab w:val="left" w:pos="1134"/>
        </w:tabs>
        <w:jc w:val="both"/>
        <w:rPr>
          <w:color w:val="000000"/>
          <w:sz w:val="22"/>
          <w:szCs w:val="22"/>
          <w:lang w:val="ro-RO"/>
        </w:rPr>
      </w:pPr>
    </w:p>
    <w:p w:rsidR="00AD2177" w:rsidRPr="005D7750" w:rsidRDefault="00AD2177" w:rsidP="00AD2177">
      <w:pPr>
        <w:ind w:right="-2" w:firstLine="720"/>
        <w:jc w:val="both"/>
        <w:rPr>
          <w:bCs/>
          <w:iCs/>
          <w:color w:val="000000"/>
          <w:lang w:val="ro-RO"/>
        </w:rPr>
      </w:pPr>
      <w:r w:rsidRPr="003028B7">
        <w:rPr>
          <w:color w:val="000000"/>
          <w:lang w:val="ro-RO"/>
        </w:rPr>
        <w:t>Pentru obiectivul de investiţii din cadrul proiectului</w:t>
      </w:r>
      <w:r w:rsidRPr="003028B7">
        <w:rPr>
          <w:b/>
          <w:bCs/>
          <w:color w:val="000000"/>
          <w:lang w:val="ro-RO"/>
        </w:rPr>
        <w:t>,,</w:t>
      </w:r>
      <w:r w:rsidRPr="005D7750">
        <w:rPr>
          <w:b/>
          <w:bCs/>
          <w:color w:val="000000"/>
          <w:lang w:val="ro-RO"/>
        </w:rPr>
        <w:t xml:space="preserve">Extindere iluminat public în Parcul Botanic” SMIS </w:t>
      </w:r>
      <w:r w:rsidRPr="005D7750">
        <w:rPr>
          <w:rFonts w:eastAsia="Calibri"/>
          <w:b/>
          <w:lang w:val="ro-RO"/>
        </w:rPr>
        <w:t>126909</w:t>
      </w:r>
      <w:r w:rsidRPr="00C8437A">
        <w:rPr>
          <w:b/>
          <w:color w:val="000000"/>
          <w:sz w:val="22"/>
          <w:szCs w:val="22"/>
          <w:lang w:val="ro-RO"/>
        </w:rPr>
        <w:t xml:space="preserve">, </w:t>
      </w:r>
      <w:r w:rsidRPr="00C8437A">
        <w:rPr>
          <w:color w:val="000000"/>
          <w:sz w:val="22"/>
          <w:szCs w:val="22"/>
          <w:lang w:val="ro-RO"/>
        </w:rPr>
        <w:t>s-a depus cererea de finantare în cadrul POR2014-2020</w:t>
      </w:r>
      <w:r w:rsidRPr="00C8437A">
        <w:rPr>
          <w:bCs/>
          <w:iCs/>
          <w:color w:val="000000"/>
          <w:sz w:val="22"/>
          <w:szCs w:val="22"/>
          <w:lang w:val="ro-RO"/>
        </w:rPr>
        <w:t xml:space="preserve">, </w:t>
      </w:r>
      <w:r w:rsidRPr="005D7750">
        <w:rPr>
          <w:rFonts w:eastAsia="Calibri"/>
          <w:lang w:val="ro-RO"/>
        </w:rPr>
        <w:t xml:space="preserve">Axa </w:t>
      </w:r>
      <w:r w:rsidRPr="005D7750">
        <w:rPr>
          <w:lang w:val="ro-RO"/>
        </w:rPr>
        <w:t>3 - Sprijinirea tranziţiei cãtre o economie cu emisii scãzute de carbon, Prioritatea de investiţii 3.1 - Sprijinirea eficienţei energetice, a gestionãrii inteligente a energiei şi a utilizãrii energiei din surse regenerabile în infrastructurile publice, inclusiv în clãdirile publice, şi în sectorul locuinţelor, Operaţiunea C – Iluminat Public</w:t>
      </w:r>
      <w:r w:rsidRPr="005D7750">
        <w:rPr>
          <w:bCs/>
          <w:iCs/>
          <w:color w:val="000000"/>
          <w:lang w:val="ro-RO"/>
        </w:rPr>
        <w:t xml:space="preserve">, în baza </w:t>
      </w:r>
      <w:r w:rsidRPr="005D7750">
        <w:rPr>
          <w:color w:val="000000"/>
          <w:lang w:val="ro-RO"/>
        </w:rPr>
        <w:t>căruia</w:t>
      </w:r>
      <w:r w:rsidRPr="005D7750">
        <w:rPr>
          <w:bCs/>
          <w:iCs/>
          <w:color w:val="000000"/>
          <w:lang w:val="ro-RO"/>
        </w:rPr>
        <w:t xml:space="preserve"> a fost semnat Contractul de finanţare nr.5434/08.05.2020.</w:t>
      </w:r>
    </w:p>
    <w:p w:rsidR="00AD2177" w:rsidRPr="005D7750" w:rsidRDefault="00AD2177" w:rsidP="00AD2177">
      <w:pPr>
        <w:ind w:right="-2" w:firstLine="720"/>
        <w:jc w:val="both"/>
        <w:rPr>
          <w:bCs/>
          <w:color w:val="000000"/>
          <w:lang w:val="ro-RO"/>
        </w:rPr>
      </w:pPr>
      <w:r>
        <w:rPr>
          <w:bCs/>
          <w:iCs/>
          <w:color w:val="000000"/>
          <w:lang w:val="ro-RO"/>
        </w:rPr>
        <w:t>Proiectul</w:t>
      </w:r>
      <w:r w:rsidRPr="005D7750">
        <w:rPr>
          <w:bCs/>
          <w:iCs/>
          <w:color w:val="000000"/>
          <w:lang w:val="ro-RO"/>
        </w:rPr>
        <w:t xml:space="preserve"> </w:t>
      </w:r>
      <w:r w:rsidRPr="001721BA">
        <w:rPr>
          <w:bCs/>
          <w:iCs/>
          <w:color w:val="000000"/>
          <w:lang w:val="ro-RO"/>
        </w:rPr>
        <w:t>„</w:t>
      </w:r>
      <w:proofErr w:type="spellStart"/>
      <w:r w:rsidRPr="001721BA">
        <w:rPr>
          <w:rFonts w:eastAsia="Calibri"/>
          <w:bCs/>
          <w:color w:val="000000"/>
        </w:rPr>
        <w:t>Extindere</w:t>
      </w:r>
      <w:proofErr w:type="spellEnd"/>
      <w:r w:rsidRPr="001721BA">
        <w:rPr>
          <w:rFonts w:eastAsia="Calibri"/>
          <w:bCs/>
          <w:color w:val="000000"/>
        </w:rPr>
        <w:t xml:space="preserve"> </w:t>
      </w:r>
      <w:proofErr w:type="spellStart"/>
      <w:r w:rsidRPr="001721BA">
        <w:rPr>
          <w:rFonts w:eastAsia="Calibri"/>
          <w:bCs/>
          <w:color w:val="000000"/>
        </w:rPr>
        <w:t>iluminat</w:t>
      </w:r>
      <w:proofErr w:type="spellEnd"/>
      <w:r w:rsidRPr="001721BA">
        <w:rPr>
          <w:rFonts w:eastAsia="Calibri"/>
          <w:bCs/>
          <w:color w:val="000000"/>
        </w:rPr>
        <w:t xml:space="preserve"> public in </w:t>
      </w:r>
      <w:proofErr w:type="spellStart"/>
      <w:r w:rsidRPr="001721BA">
        <w:rPr>
          <w:rFonts w:eastAsia="Calibri"/>
          <w:bCs/>
          <w:color w:val="000000"/>
        </w:rPr>
        <w:t>Parcul</w:t>
      </w:r>
      <w:proofErr w:type="spellEnd"/>
      <w:r w:rsidRPr="001721BA">
        <w:rPr>
          <w:rFonts w:eastAsia="Calibri"/>
          <w:bCs/>
          <w:color w:val="000000"/>
        </w:rPr>
        <w:t xml:space="preserve"> Botanic” </w:t>
      </w:r>
      <w:proofErr w:type="spellStart"/>
      <w:r w:rsidRPr="001721BA">
        <w:rPr>
          <w:rFonts w:eastAsia="Calibri"/>
          <w:bCs/>
          <w:color w:val="000000"/>
        </w:rPr>
        <w:t>si</w:t>
      </w:r>
      <w:proofErr w:type="spellEnd"/>
      <w:r w:rsidRPr="001721BA">
        <w:rPr>
          <w:rFonts w:eastAsia="Calibri"/>
          <w:bCs/>
          <w:color w:val="000000"/>
        </w:rPr>
        <w:t xml:space="preserve"> </w:t>
      </w:r>
      <w:proofErr w:type="spellStart"/>
      <w:r w:rsidRPr="001721BA">
        <w:rPr>
          <w:rFonts w:eastAsia="Calibri"/>
          <w:bCs/>
          <w:color w:val="000000"/>
        </w:rPr>
        <w:t>cheltuielile</w:t>
      </w:r>
      <w:proofErr w:type="spellEnd"/>
      <w:r w:rsidRPr="001721BA">
        <w:rPr>
          <w:rFonts w:eastAsia="Calibri"/>
          <w:bCs/>
          <w:color w:val="000000"/>
        </w:rPr>
        <w:t xml:space="preserve"> legate de </w:t>
      </w:r>
      <w:proofErr w:type="spellStart"/>
      <w:r w:rsidRPr="001721BA">
        <w:rPr>
          <w:rFonts w:eastAsia="Calibri"/>
          <w:bCs/>
          <w:color w:val="000000"/>
        </w:rPr>
        <w:t>proiect</w:t>
      </w:r>
      <w:proofErr w:type="spellEnd"/>
      <w:r>
        <w:rPr>
          <w:rFonts w:eastAsia="Calibri"/>
          <w:b/>
          <w:bCs/>
          <w:color w:val="000000"/>
        </w:rPr>
        <w:t xml:space="preserve"> </w:t>
      </w:r>
      <w:r w:rsidRPr="005D7750">
        <w:rPr>
          <w:bCs/>
          <w:color w:val="000000"/>
          <w:lang w:val="ro-RO"/>
        </w:rPr>
        <w:t xml:space="preserve">au fost aprobate de Consiliul Local prin Hotărârea nr. </w:t>
      </w:r>
      <w:r>
        <w:rPr>
          <w:bCs/>
          <w:color w:val="000000"/>
          <w:lang w:val="ro-RO"/>
        </w:rPr>
        <w:t>20/31.01.2020.</w:t>
      </w:r>
    </w:p>
    <w:p w:rsidR="00AD2177" w:rsidRPr="005D7750" w:rsidRDefault="00EA61C8" w:rsidP="00AD2177">
      <w:pPr>
        <w:ind w:right="-2"/>
        <w:jc w:val="both"/>
        <w:rPr>
          <w:bCs/>
          <w:iCs/>
          <w:color w:val="000000"/>
          <w:lang w:val="ro-RO"/>
        </w:rPr>
      </w:pPr>
      <w:r>
        <w:rPr>
          <w:bCs/>
          <w:iCs/>
          <w:color w:val="000000"/>
          <w:lang w:val="ro-RO"/>
        </w:rPr>
        <w:t xml:space="preserve">            </w:t>
      </w:r>
      <w:r w:rsidR="00AD2177" w:rsidRPr="005D7750">
        <w:rPr>
          <w:bCs/>
          <w:iCs/>
          <w:color w:val="000000"/>
          <w:lang w:val="ro-RO"/>
        </w:rPr>
        <w:t xml:space="preserve">Între Municipiul Timişoara în calitate de Achizitor şi SC </w:t>
      </w:r>
      <w:r w:rsidR="00AD2177">
        <w:rPr>
          <w:bCs/>
          <w:iCs/>
          <w:color w:val="000000"/>
          <w:lang w:val="ro-RO"/>
        </w:rPr>
        <w:t xml:space="preserve">ELBI ENERGY PROJECTS </w:t>
      </w:r>
      <w:r w:rsidR="00AD2177" w:rsidRPr="005D7750">
        <w:rPr>
          <w:bCs/>
          <w:iCs/>
          <w:color w:val="000000"/>
          <w:lang w:val="ro-RO"/>
        </w:rPr>
        <w:t xml:space="preserve"> SRL în calitate de Executant, a fost încheiat şi este în derulare </w:t>
      </w:r>
      <w:r w:rsidR="00AD2177" w:rsidRPr="005D7750">
        <w:rPr>
          <w:b/>
          <w:bCs/>
          <w:iCs/>
          <w:color w:val="000000"/>
          <w:lang w:val="ro-RO"/>
        </w:rPr>
        <w:t>Contractul de execuţie lucrări  nr.</w:t>
      </w:r>
      <w:r w:rsidR="00AD2177">
        <w:rPr>
          <w:b/>
          <w:bCs/>
          <w:iCs/>
          <w:color w:val="000000"/>
          <w:lang w:val="ro-RO"/>
        </w:rPr>
        <w:t>78/21.09.2021</w:t>
      </w:r>
      <w:r w:rsidR="00AD2177" w:rsidRPr="005D7750">
        <w:rPr>
          <w:bCs/>
          <w:iCs/>
          <w:color w:val="000000"/>
          <w:lang w:val="ro-RO"/>
        </w:rPr>
        <w:t>, pentru obiectivul de investiţii „</w:t>
      </w:r>
      <w:r w:rsidR="00AD2177" w:rsidRPr="005D7750">
        <w:rPr>
          <w:b/>
          <w:bCs/>
          <w:color w:val="000000"/>
          <w:lang w:val="ro-RO"/>
        </w:rPr>
        <w:t>Extindere iluminat public în Parcul Botanic</w:t>
      </w:r>
      <w:r w:rsidR="00AD2177">
        <w:rPr>
          <w:b/>
          <w:bCs/>
          <w:color w:val="000000"/>
          <w:lang w:val="ro-RO"/>
        </w:rPr>
        <w:t>”</w:t>
      </w:r>
      <w:r w:rsidR="00AD2177">
        <w:rPr>
          <w:bCs/>
          <w:iCs/>
          <w:color w:val="000000"/>
          <w:lang w:val="ro-RO"/>
        </w:rPr>
        <w:t xml:space="preserve"> </w:t>
      </w:r>
      <w:r w:rsidR="00AD2177" w:rsidRPr="005D7750">
        <w:rPr>
          <w:b/>
          <w:bCs/>
          <w:iCs/>
          <w:color w:val="000000"/>
          <w:lang w:val="ro-RO"/>
        </w:rPr>
        <w:t xml:space="preserve">în valoare de </w:t>
      </w:r>
      <w:r w:rsidR="00AD2177">
        <w:rPr>
          <w:b/>
          <w:bCs/>
          <w:iCs/>
          <w:color w:val="000000"/>
          <w:lang w:val="ro-RO"/>
        </w:rPr>
        <w:t>2.082.413,26</w:t>
      </w:r>
      <w:r w:rsidR="00AD2177" w:rsidRPr="005D7750">
        <w:rPr>
          <w:b/>
          <w:bCs/>
          <w:iCs/>
          <w:color w:val="000000"/>
          <w:lang w:val="ro-RO"/>
        </w:rPr>
        <w:t xml:space="preserve"> lei fără TVA</w:t>
      </w:r>
      <w:r w:rsidR="00AD2177" w:rsidRPr="005D7750">
        <w:rPr>
          <w:bCs/>
          <w:iCs/>
          <w:color w:val="000000"/>
          <w:lang w:val="ro-RO"/>
        </w:rPr>
        <w:t xml:space="preserve">. </w:t>
      </w:r>
    </w:p>
    <w:p w:rsidR="00AD2177" w:rsidRPr="003028B7" w:rsidRDefault="00AD2177" w:rsidP="00AD2177">
      <w:pPr>
        <w:ind w:right="-2" w:firstLine="720"/>
        <w:jc w:val="both"/>
        <w:rPr>
          <w:bCs/>
          <w:iCs/>
          <w:color w:val="000000"/>
          <w:lang w:val="ro-RO"/>
        </w:rPr>
      </w:pPr>
      <w:r>
        <w:rPr>
          <w:bCs/>
          <w:iCs/>
          <w:color w:val="000000"/>
          <w:lang w:val="ro-RO"/>
        </w:rPr>
        <w:t>O</w:t>
      </w:r>
      <w:r w:rsidRPr="005D7750">
        <w:rPr>
          <w:bCs/>
          <w:iCs/>
          <w:color w:val="000000"/>
          <w:lang w:val="ro-RO"/>
        </w:rPr>
        <w:t xml:space="preserve">rdinul de începere </w:t>
      </w:r>
      <w:r>
        <w:rPr>
          <w:bCs/>
          <w:iCs/>
          <w:color w:val="000000"/>
          <w:lang w:val="ro-RO"/>
        </w:rPr>
        <w:t>a contractului</w:t>
      </w:r>
      <w:r w:rsidRPr="005D7750">
        <w:rPr>
          <w:bCs/>
          <w:iCs/>
          <w:color w:val="000000"/>
          <w:lang w:val="ro-RO"/>
        </w:rPr>
        <w:t xml:space="preserve"> </w:t>
      </w:r>
      <w:r>
        <w:rPr>
          <w:bCs/>
          <w:iCs/>
          <w:color w:val="000000"/>
          <w:lang w:val="ro-RO"/>
        </w:rPr>
        <w:t xml:space="preserve"> </w:t>
      </w:r>
      <w:r w:rsidRPr="005D7750">
        <w:rPr>
          <w:bCs/>
          <w:iCs/>
          <w:color w:val="000000"/>
          <w:lang w:val="ro-RO"/>
        </w:rPr>
        <w:t>nr.</w:t>
      </w:r>
      <w:r w:rsidRPr="002F7594">
        <w:rPr>
          <w:b/>
          <w:bCs/>
          <w:iCs/>
          <w:color w:val="000000"/>
          <w:lang w:val="ro-RO"/>
        </w:rPr>
        <w:t xml:space="preserve"> </w:t>
      </w:r>
      <w:r w:rsidRPr="002F7594">
        <w:rPr>
          <w:bCs/>
          <w:iCs/>
          <w:color w:val="000000"/>
          <w:lang w:val="ro-RO"/>
        </w:rPr>
        <w:t>78/21.09.2021</w:t>
      </w:r>
      <w:r w:rsidRPr="00C97A66">
        <w:rPr>
          <w:bCs/>
          <w:iCs/>
          <w:color w:val="000000"/>
          <w:lang w:val="ro-RO"/>
        </w:rPr>
        <w:t xml:space="preserve"> </w:t>
      </w:r>
      <w:r w:rsidRPr="005D7750">
        <w:rPr>
          <w:bCs/>
          <w:iCs/>
          <w:color w:val="000000"/>
          <w:lang w:val="ro-RO"/>
        </w:rPr>
        <w:t xml:space="preserve">s-a transmis executantului începând cu data de </w:t>
      </w:r>
      <w:r>
        <w:rPr>
          <w:bCs/>
          <w:iCs/>
          <w:color w:val="000000"/>
          <w:lang w:val="ro-RO"/>
        </w:rPr>
        <w:t>27.09</w:t>
      </w:r>
      <w:r w:rsidRPr="005D7750">
        <w:rPr>
          <w:bCs/>
          <w:iCs/>
          <w:color w:val="000000"/>
          <w:lang w:val="ro-RO"/>
        </w:rPr>
        <w:t>.</w:t>
      </w:r>
      <w:r>
        <w:rPr>
          <w:bCs/>
          <w:iCs/>
          <w:color w:val="000000"/>
          <w:lang w:val="ro-RO"/>
        </w:rPr>
        <w:t>2021.</w:t>
      </w:r>
      <w:r w:rsidRPr="005D7750">
        <w:rPr>
          <w:bCs/>
          <w:iCs/>
          <w:color w:val="000000"/>
          <w:lang w:val="ro-RO"/>
        </w:rPr>
        <w:t xml:space="preserve"> </w:t>
      </w:r>
    </w:p>
    <w:p w:rsidR="00AD2177" w:rsidRPr="004F5D9D" w:rsidRDefault="00AD2177" w:rsidP="00AD2177">
      <w:pPr>
        <w:ind w:right="141" w:firstLine="360"/>
        <w:jc w:val="both"/>
        <w:rPr>
          <w:bCs/>
          <w:color w:val="000000"/>
          <w:lang w:val="ro-RO"/>
        </w:rPr>
      </w:pPr>
      <w:r>
        <w:rPr>
          <w:bCs/>
          <w:color w:val="000000"/>
          <w:lang w:val="ro-RO"/>
        </w:rPr>
        <w:t xml:space="preserve">      S</w:t>
      </w:r>
      <w:r w:rsidRPr="004F5D9D">
        <w:rPr>
          <w:bCs/>
          <w:color w:val="000000"/>
          <w:lang w:val="ro-RO"/>
        </w:rPr>
        <w:t>ituaţiile care au condus la declanşarea crizei pe piaţa construcţiilor au caracter imprevizibil şi sunt considerate cauze care nu depind de acţiunea părţilor contractuale, dar care afectează în mod semnificativ implementarea proiectelor de infrastructură, dar şi a celor de furnizare echipamente, consecinţa fiind blocarea implementării proiectelor şi afectarea serioasă a indicatorilor pentru programe operaţionale/naţionale finanţate din fonduri, domeniul Afaceri interne, denumite în continuare programe naţionale pe care România le are de îndeplinit în cadrul politicii de coeziune 2014-2020 sau alte politici europene relevante.</w:t>
      </w:r>
    </w:p>
    <w:p w:rsidR="00AD2177" w:rsidRPr="004F5D9D" w:rsidRDefault="00AD2177" w:rsidP="00AD2177">
      <w:pPr>
        <w:ind w:right="141"/>
        <w:jc w:val="both"/>
        <w:rPr>
          <w:bCs/>
          <w:color w:val="000000"/>
          <w:lang w:val="ro-RO"/>
        </w:rPr>
      </w:pPr>
    </w:p>
    <w:p w:rsidR="00AD2177" w:rsidRPr="004F5D9D" w:rsidRDefault="00AD2177" w:rsidP="00AD2177">
      <w:pPr>
        <w:pStyle w:val="ListParagraph"/>
        <w:numPr>
          <w:ilvl w:val="0"/>
          <w:numId w:val="1"/>
        </w:numPr>
        <w:tabs>
          <w:tab w:val="num" w:pos="0"/>
        </w:tabs>
        <w:spacing w:after="0" w:line="240" w:lineRule="auto"/>
        <w:ind w:left="360" w:right="141"/>
        <w:jc w:val="both"/>
        <w:rPr>
          <w:rFonts w:ascii="Times New Roman" w:hAnsi="Times New Roman"/>
          <w:b/>
          <w:color w:val="000000"/>
          <w:spacing w:val="-5"/>
          <w:sz w:val="24"/>
          <w:szCs w:val="24"/>
        </w:rPr>
      </w:pPr>
      <w:r w:rsidRPr="004F5D9D">
        <w:rPr>
          <w:rFonts w:ascii="Times New Roman" w:hAnsi="Times New Roman"/>
          <w:b/>
          <w:color w:val="000000"/>
          <w:spacing w:val="-5"/>
          <w:sz w:val="24"/>
          <w:szCs w:val="24"/>
        </w:rPr>
        <w:t>Schimbari preconizate și rezultate așteptate</w:t>
      </w:r>
    </w:p>
    <w:p w:rsidR="00AD2177" w:rsidRPr="004F5D9D" w:rsidRDefault="00AD2177" w:rsidP="00AD2177">
      <w:pPr>
        <w:tabs>
          <w:tab w:val="left" w:pos="720"/>
        </w:tabs>
        <w:ind w:right="141"/>
        <w:jc w:val="both"/>
        <w:rPr>
          <w:rFonts w:eastAsia="Calibri"/>
          <w:color w:val="000000"/>
          <w:lang w:val="ro-RO"/>
        </w:rPr>
      </w:pPr>
      <w:r>
        <w:rPr>
          <w:rFonts w:eastAsia="Calibri"/>
          <w:bCs/>
          <w:color w:val="000000"/>
          <w:lang w:val="ro-RO"/>
        </w:rPr>
        <w:tab/>
      </w:r>
      <w:r w:rsidRPr="004F5D9D">
        <w:rPr>
          <w:rFonts w:eastAsia="Calibri"/>
          <w:bCs/>
          <w:color w:val="000000"/>
          <w:lang w:val="ro-RO"/>
        </w:rPr>
        <w:t>Prin Ordonanţa de Urgenţă nr. 64/2022,</w:t>
      </w:r>
      <w:r w:rsidRPr="004F5D9D">
        <w:rPr>
          <w:rFonts w:eastAsia="Calibri"/>
          <w:b/>
          <w:bCs/>
          <w:color w:val="000000"/>
          <w:lang w:val="ro-RO"/>
        </w:rPr>
        <w:t xml:space="preserve"> </w:t>
      </w:r>
      <w:hyperlink r:id="rId5" w:anchor="26339599" w:history="1">
        <w:r w:rsidRPr="004F5D9D">
          <w:rPr>
            <w:rStyle w:val="Hyperlink"/>
            <w:rFonts w:eastAsia="Calibri"/>
            <w:bCs/>
            <w:i/>
            <w:color w:val="000000"/>
            <w:lang w:val="ro-RO"/>
          </w:rPr>
          <w:t>se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r w:rsidRPr="004F5D9D">
          <w:rPr>
            <w:rStyle w:val="Hyperlink"/>
            <w:rFonts w:eastAsia="Calibri"/>
            <w:bCs/>
            <w:color w:val="000000"/>
            <w:lang w:val="ro-RO"/>
          </w:rPr>
          <w:t>.</w:t>
        </w:r>
      </w:hyperlink>
    </w:p>
    <w:p w:rsidR="00AD2177" w:rsidRPr="004F5D9D" w:rsidRDefault="00AD2177" w:rsidP="00AD2177">
      <w:pPr>
        <w:tabs>
          <w:tab w:val="left" w:pos="720"/>
        </w:tabs>
        <w:ind w:right="141"/>
        <w:jc w:val="both"/>
        <w:rPr>
          <w:rFonts w:eastAsia="Calibri"/>
          <w:bCs/>
          <w:color w:val="000000"/>
          <w:lang w:val="ro-RO"/>
        </w:rPr>
      </w:pPr>
      <w:r w:rsidRPr="004F5D9D">
        <w:rPr>
          <w:rFonts w:eastAsia="Calibri"/>
          <w:bCs/>
          <w:color w:val="000000"/>
          <w:lang w:val="ro-RO"/>
        </w:rPr>
        <w:t xml:space="preserve">În conformitate cu prevederile art. 9 din OUG nr. 64/2022: </w:t>
      </w:r>
    </w:p>
    <w:p w:rsidR="00AD2177" w:rsidRPr="004F5D9D" w:rsidRDefault="00FD780F" w:rsidP="00AD2177">
      <w:pPr>
        <w:numPr>
          <w:ilvl w:val="0"/>
          <w:numId w:val="2"/>
        </w:numPr>
        <w:tabs>
          <w:tab w:val="left" w:pos="720"/>
        </w:tabs>
        <w:ind w:right="141"/>
        <w:jc w:val="both"/>
        <w:rPr>
          <w:color w:val="000000"/>
          <w:lang w:val="ro-RO"/>
        </w:rPr>
      </w:pPr>
      <w:hyperlink r:id="rId6" w:anchor="26339769" w:history="1">
        <w:r w:rsidR="00AD2177" w:rsidRPr="004F5D9D">
          <w:rPr>
            <w:rStyle w:val="Hyperlink"/>
            <w:rFonts w:eastAsia="Calibri"/>
            <w:bCs/>
            <w:color w:val="000000"/>
            <w:lang w:val="ro-RO"/>
          </w:rPr>
          <w:t>beneficiarii fondurilor externe nerambursabile constituie o rezervă de implementare, în limitele şi condiţiile prevăzute de ordonanţa de urgenţă, destinată plăţii ajustărilor de preţ ale contractelor de achiziţie publică prin încheierea de act adiţional la contractul de achiziţie publică, în limitele şi condiţiile prevăzute de prezenta ordonanţă de urgenţă.</w:t>
        </w:r>
      </w:hyperlink>
    </w:p>
    <w:p w:rsidR="00AD2177" w:rsidRPr="004F5D9D" w:rsidRDefault="00FD780F" w:rsidP="00AD2177">
      <w:pPr>
        <w:numPr>
          <w:ilvl w:val="0"/>
          <w:numId w:val="2"/>
        </w:numPr>
        <w:tabs>
          <w:tab w:val="left" w:pos="720"/>
        </w:tabs>
        <w:ind w:right="141"/>
        <w:jc w:val="both"/>
        <w:rPr>
          <w:rFonts w:eastAsia="Calibri"/>
          <w:bCs/>
          <w:color w:val="000000"/>
          <w:lang w:val="ro-RO"/>
        </w:rPr>
      </w:pPr>
      <w:hyperlink r:id="rId7" w:anchor="26339769" w:history="1">
        <w:r w:rsidR="00AD2177" w:rsidRPr="004F5D9D">
          <w:rPr>
            <w:rStyle w:val="Hyperlink"/>
            <w:rFonts w:eastAsia="Calibri"/>
            <w:bCs/>
            <w:color w:val="000000"/>
            <w:lang w:val="ro-RO"/>
          </w:rPr>
          <w:t>beneficiarii fondurilor externe nerambursabile încheie acte adiţionale la contractele de achiziţie după parcurgerea etapelor prevăzute la art. 10.</w:t>
        </w:r>
      </w:hyperlink>
    </w:p>
    <w:p w:rsidR="00AD2177" w:rsidRPr="004F5D9D" w:rsidRDefault="00FD780F" w:rsidP="00AD2177">
      <w:pPr>
        <w:numPr>
          <w:ilvl w:val="0"/>
          <w:numId w:val="2"/>
        </w:numPr>
        <w:tabs>
          <w:tab w:val="left" w:pos="720"/>
        </w:tabs>
        <w:ind w:right="141"/>
        <w:jc w:val="both"/>
        <w:rPr>
          <w:rFonts w:eastAsia="Calibri"/>
          <w:bCs/>
          <w:color w:val="000000"/>
          <w:lang w:val="ro-RO"/>
        </w:rPr>
      </w:pPr>
      <w:hyperlink r:id="rId8" w:anchor="26339769" w:history="1">
        <w:r w:rsidR="00AD2177" w:rsidRPr="004F5D9D">
          <w:rPr>
            <w:rStyle w:val="Hyperlink"/>
            <w:rFonts w:eastAsia="Calibri"/>
            <w:bCs/>
            <w:color w:val="000000"/>
            <w:lang w:val="ro-RO"/>
          </w:rPr>
          <w:t>rezerva de implementare pentru reechilibrarea contractelor se constituie iniţial, în procent de până la 23% din valoarea restului de executat a contractului de achiziţie, la momentul intrării în vigoare a ordonanţei de urgenţă şi poate fi utilizată numai pentru plata diferenţelor de preţ aferente ajustării preţului contractelor de achiziţie, fără a depăşi pragurile stabilite de lege (50% din valoarea contractului).</w:t>
        </w:r>
      </w:hyperlink>
    </w:p>
    <w:p w:rsidR="00AD2177" w:rsidRDefault="00FD780F" w:rsidP="00AD2177">
      <w:pPr>
        <w:numPr>
          <w:ilvl w:val="0"/>
          <w:numId w:val="2"/>
        </w:numPr>
        <w:tabs>
          <w:tab w:val="left" w:pos="720"/>
        </w:tabs>
        <w:ind w:right="141"/>
        <w:jc w:val="both"/>
        <w:rPr>
          <w:rFonts w:eastAsia="Calibri"/>
          <w:bCs/>
          <w:color w:val="000000"/>
          <w:lang w:val="ro-RO"/>
        </w:rPr>
      </w:pPr>
      <w:hyperlink r:id="rId9" w:anchor="26339769" w:history="1">
        <w:r w:rsidR="00AD2177" w:rsidRPr="004F5D9D">
          <w:rPr>
            <w:rStyle w:val="Hyperlink"/>
            <w:rFonts w:eastAsia="Calibri"/>
            <w:bCs/>
            <w:color w:val="000000"/>
            <w:lang w:val="ro-RO"/>
          </w:rPr>
          <w:t>pe parcursul derulării contractelor, rezerva de implementare destinată plăţii ajustărilor de preţ se poate suplimenta cu procente de până la 1</w:t>
        </w:r>
        <w:r w:rsidR="00AD2177">
          <w:rPr>
            <w:rStyle w:val="Hyperlink"/>
            <w:rFonts w:eastAsia="Calibri"/>
            <w:bCs/>
            <w:color w:val="000000"/>
            <w:lang w:val="ro-RO"/>
          </w:rPr>
          <w:t>5</w:t>
        </w:r>
        <w:r w:rsidR="00AD2177" w:rsidRPr="004F5D9D">
          <w:rPr>
            <w:rStyle w:val="Hyperlink"/>
            <w:rFonts w:eastAsia="Calibri"/>
            <w:bCs/>
            <w:color w:val="000000"/>
            <w:lang w:val="ro-RO"/>
          </w:rPr>
          <w:t xml:space="preserve">% din valoarea restului de executat a contractului de achiziţie, la data solicitării, prin încheierea de acte adiţionale la contracte, fără a depăşi pragurile stabilite de lege (50% din valoarea </w:t>
        </w:r>
      </w:hyperlink>
      <w:r w:rsidR="00AD2177" w:rsidRPr="004F5D9D">
        <w:rPr>
          <w:rFonts w:eastAsia="Calibri"/>
          <w:bCs/>
          <w:color w:val="000000"/>
          <w:lang w:val="ro-RO"/>
        </w:rPr>
        <w:t xml:space="preserve"> contractului).</w:t>
      </w:r>
    </w:p>
    <w:p w:rsidR="00AD2177" w:rsidRPr="003028B7" w:rsidRDefault="00AD2177" w:rsidP="00AD2177">
      <w:pPr>
        <w:numPr>
          <w:ilvl w:val="0"/>
          <w:numId w:val="2"/>
        </w:numPr>
        <w:tabs>
          <w:tab w:val="left" w:pos="720"/>
        </w:tabs>
        <w:ind w:right="141"/>
        <w:jc w:val="both"/>
        <w:rPr>
          <w:rFonts w:eastAsia="Calibri"/>
          <w:bCs/>
          <w:color w:val="000000"/>
          <w:lang w:val="ro-RO"/>
        </w:rPr>
      </w:pPr>
    </w:p>
    <w:p w:rsidR="00AD2177" w:rsidRPr="003028B7" w:rsidRDefault="00AD2177" w:rsidP="00AD2177">
      <w:pPr>
        <w:pStyle w:val="ListParagraph"/>
        <w:numPr>
          <w:ilvl w:val="0"/>
          <w:numId w:val="1"/>
        </w:numPr>
        <w:tabs>
          <w:tab w:val="decimal" w:pos="360"/>
          <w:tab w:val="decimal" w:pos="432"/>
        </w:tabs>
        <w:spacing w:after="0" w:line="240" w:lineRule="auto"/>
        <w:ind w:left="360" w:right="141"/>
        <w:jc w:val="both"/>
        <w:rPr>
          <w:rFonts w:ascii="Times New Roman" w:hAnsi="Times New Roman"/>
          <w:color w:val="000000"/>
          <w:sz w:val="24"/>
          <w:szCs w:val="24"/>
        </w:rPr>
      </w:pPr>
      <w:r w:rsidRPr="004F5D9D">
        <w:rPr>
          <w:rFonts w:ascii="Times New Roman" w:hAnsi="Times New Roman"/>
          <w:b/>
          <w:color w:val="000000"/>
          <w:spacing w:val="-1"/>
          <w:sz w:val="24"/>
          <w:szCs w:val="24"/>
        </w:rPr>
        <w:t>Alte informații</w:t>
      </w:r>
      <w:r w:rsidRPr="004F5D9D">
        <w:rPr>
          <w:rFonts w:ascii="Times New Roman" w:hAnsi="Times New Roman"/>
          <w:b/>
          <w:color w:val="000000"/>
          <w:spacing w:val="15"/>
          <w:sz w:val="24"/>
          <w:szCs w:val="24"/>
        </w:rPr>
        <w:t xml:space="preserve"> - </w:t>
      </w:r>
      <w:r w:rsidRPr="004F5D9D">
        <w:rPr>
          <w:rFonts w:ascii="Times New Roman" w:hAnsi="Times New Roman"/>
          <w:color w:val="000000"/>
          <w:sz w:val="24"/>
          <w:szCs w:val="24"/>
        </w:rPr>
        <w:t>Nu este cazul.</w:t>
      </w:r>
    </w:p>
    <w:p w:rsidR="00AD2177" w:rsidRPr="003028B7" w:rsidRDefault="00AD2177" w:rsidP="00AD2177">
      <w:pPr>
        <w:pStyle w:val="ListParagraph"/>
        <w:numPr>
          <w:ilvl w:val="0"/>
          <w:numId w:val="1"/>
        </w:numPr>
        <w:tabs>
          <w:tab w:val="left" w:pos="360"/>
        </w:tabs>
        <w:spacing w:after="0" w:line="240" w:lineRule="auto"/>
        <w:ind w:left="0" w:right="141" w:firstLine="0"/>
        <w:jc w:val="both"/>
        <w:rPr>
          <w:rFonts w:ascii="Times New Roman" w:hAnsi="Times New Roman"/>
          <w:b/>
          <w:color w:val="000000"/>
          <w:spacing w:val="-1"/>
          <w:sz w:val="24"/>
          <w:szCs w:val="24"/>
        </w:rPr>
      </w:pPr>
      <w:r w:rsidRPr="004F5D9D">
        <w:rPr>
          <w:rFonts w:ascii="Times New Roman" w:hAnsi="Times New Roman"/>
          <w:b/>
          <w:color w:val="000000"/>
          <w:spacing w:val="-1"/>
          <w:sz w:val="24"/>
          <w:szCs w:val="24"/>
        </w:rPr>
        <w:t>Concluzii</w:t>
      </w:r>
    </w:p>
    <w:p w:rsidR="00AD2177" w:rsidRPr="004F5D9D" w:rsidRDefault="00AD2177" w:rsidP="00AD2177">
      <w:pPr>
        <w:ind w:right="141" w:firstLine="720"/>
        <w:jc w:val="both"/>
        <w:rPr>
          <w:color w:val="000000"/>
          <w:lang w:val="ro-RO"/>
        </w:rPr>
      </w:pPr>
      <w:r w:rsidRPr="004F5D9D">
        <w:rPr>
          <w:color w:val="000000"/>
          <w:lang w:val="ro-RO"/>
        </w:rPr>
        <w:t>C</w:t>
      </w:r>
      <w:r w:rsidRPr="004F5D9D">
        <w:rPr>
          <w:color w:val="000000"/>
          <w:lang w:val="ro-RO" w:eastAsia="ro-RO"/>
        </w:rPr>
        <w:t xml:space="preserve">onsiderăm necesară și oportună parcurgerea pașilor de </w:t>
      </w:r>
      <w:r w:rsidRPr="004F5D9D">
        <w:rPr>
          <w:color w:val="000000"/>
          <w:spacing w:val="-2"/>
          <w:lang w:val="ro-RO"/>
        </w:rPr>
        <w:t xml:space="preserve">aprobare a </w:t>
      </w:r>
      <w:r w:rsidRPr="004F5D9D">
        <w:rPr>
          <w:color w:val="000000"/>
          <w:lang w:val="ro-RO"/>
        </w:rPr>
        <w:t xml:space="preserve">proiectului de hotărâre privind </w:t>
      </w:r>
      <w:r w:rsidRPr="004F5D9D">
        <w:rPr>
          <w:bCs/>
          <w:color w:val="000000"/>
          <w:lang w:val="ro-RO"/>
        </w:rPr>
        <w:t xml:space="preserve">aprobarea </w:t>
      </w:r>
      <w:r>
        <w:rPr>
          <w:bCs/>
          <w:color w:val="000000"/>
          <w:lang w:val="ro-RO"/>
        </w:rPr>
        <w:t xml:space="preserve">suplimentării </w:t>
      </w:r>
      <w:r w:rsidRPr="004F5D9D">
        <w:rPr>
          <w:bCs/>
          <w:color w:val="000000"/>
          <w:lang w:val="ro-RO"/>
        </w:rPr>
        <w:t xml:space="preserve">rezervei de implementare destinată reechilibrării contractului de executie lucrari nr. </w:t>
      </w:r>
      <w:r w:rsidRPr="004F5D9D">
        <w:rPr>
          <w:b/>
          <w:bCs/>
          <w:color w:val="000000"/>
          <w:lang w:val="ro-RO"/>
        </w:rPr>
        <w:t xml:space="preserve">78/21.09.2021 aferent proiectului ,,Extindere iluminat public în Parcul Botanic” SMIS </w:t>
      </w:r>
      <w:r w:rsidRPr="004F5D9D">
        <w:rPr>
          <w:rFonts w:eastAsia="Calibri"/>
          <w:b/>
          <w:lang w:val="ro-RO"/>
        </w:rPr>
        <w:t>126909</w:t>
      </w:r>
      <w:r w:rsidRPr="004F5D9D">
        <w:rPr>
          <w:b/>
          <w:bCs/>
          <w:color w:val="000000"/>
          <w:lang w:val="ro-RO"/>
        </w:rPr>
        <w:t>,</w:t>
      </w:r>
      <w:r w:rsidRPr="004F5D9D">
        <w:rPr>
          <w:bCs/>
          <w:color w:val="000000"/>
          <w:lang w:val="ro-RO"/>
        </w:rPr>
        <w:t xml:space="preserve"> finanțat prin POR 2014-2020.</w:t>
      </w:r>
    </w:p>
    <w:p w:rsidR="00AD2177" w:rsidRPr="00C8437A" w:rsidRDefault="00AD2177" w:rsidP="00AD2177">
      <w:pPr>
        <w:ind w:right="141"/>
        <w:rPr>
          <w:color w:val="000000"/>
          <w:sz w:val="22"/>
          <w:szCs w:val="22"/>
          <w:lang w:val="ro-RO"/>
        </w:rPr>
      </w:pPr>
    </w:p>
    <w:p w:rsidR="00AD2177" w:rsidRDefault="00AD2177" w:rsidP="00AD2177">
      <w:pPr>
        <w:ind w:right="141"/>
        <w:jc w:val="center"/>
        <w:rPr>
          <w:color w:val="000000"/>
          <w:sz w:val="22"/>
          <w:szCs w:val="22"/>
          <w:lang w:val="ro-RO"/>
        </w:rPr>
      </w:pPr>
    </w:p>
    <w:p w:rsidR="00AD2177" w:rsidRPr="00C8437A" w:rsidRDefault="00AD2177" w:rsidP="00AD2177">
      <w:pPr>
        <w:ind w:right="141"/>
        <w:jc w:val="center"/>
        <w:rPr>
          <w:color w:val="000000"/>
          <w:sz w:val="22"/>
          <w:szCs w:val="22"/>
          <w:lang w:val="ro-RO"/>
        </w:rPr>
      </w:pPr>
    </w:p>
    <w:p w:rsidR="00AD2177" w:rsidRPr="00544561" w:rsidRDefault="00AD2177" w:rsidP="00AD2177">
      <w:pPr>
        <w:ind w:right="141"/>
        <w:rPr>
          <w:b/>
          <w:color w:val="000000"/>
          <w:lang w:val="ro-RO"/>
        </w:rPr>
      </w:pPr>
      <w:r w:rsidRPr="00544561">
        <w:rPr>
          <w:b/>
          <w:color w:val="000000"/>
          <w:lang w:val="ro-RO"/>
        </w:rPr>
        <w:t xml:space="preserve">                    PRIMAR,</w:t>
      </w:r>
      <w:r w:rsidRPr="00544561">
        <w:rPr>
          <w:b/>
          <w:color w:val="000000"/>
          <w:lang w:val="ro-RO"/>
        </w:rPr>
        <w:tab/>
      </w:r>
      <w:r w:rsidRPr="00544561">
        <w:rPr>
          <w:b/>
          <w:color w:val="000000"/>
          <w:lang w:val="ro-RO"/>
        </w:rPr>
        <w:tab/>
      </w:r>
      <w:r w:rsidRPr="00544561">
        <w:rPr>
          <w:b/>
          <w:color w:val="000000"/>
          <w:lang w:val="ro-RO"/>
        </w:rPr>
        <w:tab/>
      </w:r>
      <w:r w:rsidRPr="00544561">
        <w:rPr>
          <w:b/>
          <w:color w:val="000000"/>
          <w:lang w:val="ro-RO"/>
        </w:rPr>
        <w:tab/>
        <w:t xml:space="preserve">         </w:t>
      </w:r>
      <w:r>
        <w:rPr>
          <w:b/>
          <w:color w:val="000000"/>
          <w:lang w:val="ro-RO"/>
        </w:rPr>
        <w:t xml:space="preserve">              </w:t>
      </w:r>
      <w:r w:rsidRPr="00544561">
        <w:rPr>
          <w:b/>
          <w:color w:val="000000"/>
          <w:lang w:val="ro-RO"/>
        </w:rPr>
        <w:t>VICEPRIMAR,</w:t>
      </w:r>
    </w:p>
    <w:p w:rsidR="00AD2177" w:rsidRPr="00544561" w:rsidRDefault="00AD2177" w:rsidP="00AD2177">
      <w:pPr>
        <w:ind w:right="141"/>
        <w:rPr>
          <w:b/>
          <w:color w:val="000000"/>
          <w:lang w:val="ro-RO"/>
        </w:rPr>
      </w:pPr>
      <w:r w:rsidRPr="00544561">
        <w:rPr>
          <w:b/>
          <w:color w:val="000000"/>
          <w:lang w:val="ro-RO"/>
        </w:rPr>
        <w:t xml:space="preserve">           DOMINIC FRITZ</w:t>
      </w:r>
      <w:r w:rsidRPr="00544561">
        <w:rPr>
          <w:b/>
          <w:color w:val="000000"/>
          <w:lang w:val="ro-RO"/>
        </w:rPr>
        <w:tab/>
      </w:r>
      <w:r w:rsidRPr="00544561">
        <w:rPr>
          <w:b/>
          <w:color w:val="000000"/>
          <w:lang w:val="ro-RO"/>
        </w:rPr>
        <w:tab/>
      </w:r>
      <w:r w:rsidRPr="00544561">
        <w:rPr>
          <w:b/>
          <w:color w:val="000000"/>
          <w:lang w:val="ro-RO"/>
        </w:rPr>
        <w:tab/>
      </w:r>
      <w:r w:rsidRPr="00544561">
        <w:rPr>
          <w:b/>
          <w:color w:val="000000"/>
          <w:lang w:val="ro-RO"/>
        </w:rPr>
        <w:tab/>
      </w:r>
      <w:r>
        <w:rPr>
          <w:b/>
          <w:caps/>
          <w:color w:val="000000"/>
          <w:lang w:val="ro-RO"/>
        </w:rPr>
        <w:tab/>
        <w:t xml:space="preserve">       </w:t>
      </w:r>
      <w:r w:rsidRPr="00544561">
        <w:rPr>
          <w:b/>
          <w:caps/>
          <w:color w:val="000000"/>
          <w:lang w:val="ro-RO"/>
        </w:rPr>
        <w:t xml:space="preserve"> RUBEN LAȚCĂU</w:t>
      </w:r>
    </w:p>
    <w:p w:rsidR="00AD2177" w:rsidRPr="00544561" w:rsidRDefault="00AD2177" w:rsidP="00AD2177">
      <w:pPr>
        <w:ind w:right="141"/>
        <w:rPr>
          <w:b/>
          <w:color w:val="000000"/>
          <w:lang w:val="ro-RO"/>
        </w:rPr>
      </w:pPr>
      <w:r w:rsidRPr="00544561">
        <w:rPr>
          <w:b/>
          <w:color w:val="000000"/>
          <w:lang w:val="ro-RO"/>
        </w:rPr>
        <w:tab/>
      </w:r>
    </w:p>
    <w:p w:rsidR="00AD2177" w:rsidRPr="00544561" w:rsidRDefault="00AD2177" w:rsidP="00AD2177">
      <w:pPr>
        <w:ind w:right="141"/>
        <w:rPr>
          <w:b/>
          <w:color w:val="000000"/>
          <w:lang w:val="ro-RO"/>
        </w:rPr>
      </w:pPr>
    </w:p>
    <w:p w:rsidR="00AD2177" w:rsidRPr="00544561" w:rsidRDefault="00AD2177" w:rsidP="00AD2177">
      <w:pPr>
        <w:ind w:right="141"/>
        <w:rPr>
          <w:b/>
          <w:color w:val="000000"/>
          <w:lang w:val="ro-RO"/>
        </w:rPr>
      </w:pPr>
    </w:p>
    <w:p w:rsidR="00AD2177" w:rsidRPr="00544561" w:rsidRDefault="00AD2177" w:rsidP="00AD2177">
      <w:pPr>
        <w:tabs>
          <w:tab w:val="left" w:pos="6211"/>
        </w:tabs>
        <w:rPr>
          <w:b/>
          <w:color w:val="000000"/>
          <w:lang w:val="ro-RO"/>
        </w:rPr>
      </w:pPr>
      <w:r w:rsidRPr="00544561">
        <w:rPr>
          <w:b/>
          <w:color w:val="000000"/>
          <w:lang w:val="ro-RO"/>
        </w:rPr>
        <w:t xml:space="preserve">                                                                                                </w:t>
      </w:r>
      <w:r>
        <w:rPr>
          <w:b/>
          <w:color w:val="000000"/>
          <w:lang w:val="ro-RO"/>
        </w:rPr>
        <w:t xml:space="preserve">      </w:t>
      </w:r>
      <w:r w:rsidRPr="00544561">
        <w:rPr>
          <w:b/>
          <w:color w:val="000000"/>
          <w:lang w:val="ro-RO"/>
        </w:rPr>
        <w:t xml:space="preserve">    ȘEF SERVICIU,</w:t>
      </w:r>
    </w:p>
    <w:p w:rsidR="00AD2177" w:rsidRPr="00544561" w:rsidRDefault="00AD2177" w:rsidP="00AD2177">
      <w:pPr>
        <w:tabs>
          <w:tab w:val="left" w:pos="6211"/>
        </w:tabs>
        <w:rPr>
          <w:b/>
          <w:color w:val="000000"/>
          <w:lang w:val="ro-RO"/>
        </w:rPr>
      </w:pPr>
      <w:r w:rsidRPr="00544561">
        <w:rPr>
          <w:b/>
          <w:color w:val="000000"/>
          <w:lang w:val="ro-RO"/>
        </w:rPr>
        <w:t xml:space="preserve">                                                                                          </w:t>
      </w:r>
      <w:r>
        <w:rPr>
          <w:b/>
          <w:color w:val="000000"/>
          <w:lang w:val="ro-RO"/>
        </w:rPr>
        <w:t xml:space="preserve">                </w:t>
      </w:r>
      <w:r w:rsidRPr="00544561">
        <w:rPr>
          <w:b/>
          <w:color w:val="000000"/>
          <w:lang w:val="ro-RO"/>
        </w:rPr>
        <w:t xml:space="preserve"> LUCIAN BUDA</w:t>
      </w:r>
    </w:p>
    <w:p w:rsidR="00AD2177" w:rsidRDefault="00AD2177" w:rsidP="00AD2177"/>
    <w:p w:rsidR="00D6618B" w:rsidRDefault="00D6618B"/>
    <w:sectPr w:rsidR="00D6618B" w:rsidSect="00C7687E">
      <w:pgSz w:w="12240" w:h="15840"/>
      <w:pgMar w:top="57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02EEF"/>
    <w:multiLevelType w:val="hybridMultilevel"/>
    <w:tmpl w:val="F3DCF642"/>
    <w:lvl w:ilvl="0" w:tplc="1758F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166CAD"/>
    <w:multiLevelType w:val="hybridMultilevel"/>
    <w:tmpl w:val="997A6C58"/>
    <w:lvl w:ilvl="0" w:tplc="DF7656B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D2177"/>
    <w:rsid w:val="00AC626E"/>
    <w:rsid w:val="00AD2177"/>
    <w:rsid w:val="00C07B9C"/>
    <w:rsid w:val="00D6618B"/>
    <w:rsid w:val="00EA61C8"/>
    <w:rsid w:val="00FD7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1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77"/>
    <w:pPr>
      <w:spacing w:after="200" w:line="276" w:lineRule="auto"/>
      <w:ind w:left="720"/>
      <w:contextualSpacing/>
    </w:pPr>
    <w:rPr>
      <w:rFonts w:ascii="Calibri" w:eastAsia="Calibri" w:hAnsi="Calibri"/>
      <w:sz w:val="22"/>
      <w:szCs w:val="22"/>
      <w:lang w:val="ro-RO"/>
    </w:rPr>
  </w:style>
  <w:style w:type="paragraph" w:styleId="Header">
    <w:name w:val="header"/>
    <w:basedOn w:val="Normal"/>
    <w:link w:val="HeaderChar"/>
    <w:uiPriority w:val="99"/>
    <w:unhideWhenUsed/>
    <w:rsid w:val="00AD2177"/>
    <w:pPr>
      <w:tabs>
        <w:tab w:val="center" w:pos="4680"/>
        <w:tab w:val="right" w:pos="9360"/>
      </w:tabs>
    </w:pPr>
  </w:style>
  <w:style w:type="character" w:customStyle="1" w:styleId="HeaderChar">
    <w:name w:val="Header Char"/>
    <w:basedOn w:val="DefaultParagraphFont"/>
    <w:link w:val="Header"/>
    <w:uiPriority w:val="99"/>
    <w:rsid w:val="00AD21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21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legis/oficiale/index/act/180888" TargetMode="External"/><Relationship Id="rId3" Type="http://schemas.openxmlformats.org/officeDocument/2006/relationships/settings" Target="settings.xml"/><Relationship Id="rId7" Type="http://schemas.openxmlformats.org/officeDocument/2006/relationships/hyperlink" Target="../../../../../../ilegis/oficiale/index/act/180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legis/oficiale/index/act/180888" TargetMode="External"/><Relationship Id="rId11" Type="http://schemas.openxmlformats.org/officeDocument/2006/relationships/theme" Target="theme/theme1.xml"/><Relationship Id="rId5" Type="http://schemas.openxmlformats.org/officeDocument/2006/relationships/hyperlink" Target="../../../../../../ilegis/oficiale/index/act/473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ilegis/oficiale/index/act/180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5</cp:revision>
  <dcterms:created xsi:type="dcterms:W3CDTF">2023-03-15T07:44:00Z</dcterms:created>
  <dcterms:modified xsi:type="dcterms:W3CDTF">2023-03-20T11:58:00Z</dcterms:modified>
</cp:coreProperties>
</file>