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1.73228346456688" w:right="150.47244094488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w:t>
      </w:r>
      <w:r w:rsidDel="00000000" w:rsidR="00000000" w:rsidRPr="00000000">
        <w:rPr>
          <w:rFonts w:ascii="Times New Roman" w:cs="Times New Roman" w:eastAsia="Times New Roman" w:hAnsi="Times New Roman"/>
          <w:sz w:val="24"/>
          <w:szCs w:val="24"/>
          <w:rtl w:val="0"/>
        </w:rPr>
        <w:t xml:space="preserve">18386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p w:rsidR="00000000" w:rsidDel="00000000" w:rsidP="00000000" w:rsidRDefault="00000000" w:rsidRPr="00000000" w14:paraId="00000002">
      <w:pPr>
        <w:pStyle w:val="Title"/>
        <w:spacing w:after="0" w:lineRule="auto"/>
        <w:ind w:left="141.73228346456688" w:right="150.4724409448835" w:firstLine="0"/>
        <w:jc w:val="center"/>
        <w:rPr>
          <w:rFonts w:ascii="Times New Roman" w:cs="Times New Roman" w:eastAsia="Times New Roman" w:hAnsi="Times New Roman"/>
          <w:sz w:val="40"/>
          <w:szCs w:val="40"/>
          <w:vertAlign w:val="baseline"/>
        </w:rPr>
      </w:pPr>
      <w:bookmarkStart w:colFirst="0" w:colLast="0" w:name="_heading=h.sq6zf96d262y" w:id="0"/>
      <w:bookmarkEnd w:id="0"/>
      <w:r w:rsidDel="00000000" w:rsidR="00000000" w:rsidRPr="00000000">
        <w:rPr>
          <w:rFonts w:ascii="Times New Roman" w:cs="Times New Roman" w:eastAsia="Times New Roman" w:hAnsi="Times New Roman"/>
          <w:sz w:val="40"/>
          <w:szCs w:val="40"/>
          <w:vertAlign w:val="baseline"/>
          <w:rtl w:val="0"/>
        </w:rPr>
        <w:t xml:space="preserve">RAPORT DE SPECIALITATE</w:t>
      </w:r>
    </w:p>
    <w:p w:rsidR="00000000" w:rsidDel="00000000" w:rsidP="00000000" w:rsidRDefault="00000000" w:rsidRPr="00000000" w14:paraId="00000003">
      <w:pPr>
        <w:spacing w:after="200" w:lineRule="auto"/>
        <w:ind w:left="141.73228346456688" w:right="150.4724409448835" w:firstLine="0"/>
        <w:jc w:val="center"/>
        <w:rPr>
          <w:rFonts w:ascii="Times New Roman" w:cs="Times New Roman" w:eastAsia="Times New Roman" w:hAnsi="Times New Roman"/>
          <w:b w:val="1"/>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privind aprobarea disponibilității resurselor proprii și disponibilitatea temporară a fondurilor pentru implementare activități până la rambursare pentru Direcția de Asistență Socială a Municipiului Timișoara în cadrul proiectului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SENIOR: Smart Engagement Network Involving Older Residents in Timisoara and Szeged</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04">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Direcția de Asistență Socială a Municipiului Timișoara, în calitate de partener a elaborat secțiunile aferente împreună cu documentele anexe din cererea de finanțare pentru proiectul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SENIOR: Smart Engagement Network Involving Older Residents in Timisoara and Szeged / SENIOR: Rețea de implicare inteligentă pentru rezidenți vârstnici din Timișoara și Szeged </w:t>
      </w:r>
      <w:r w:rsidDel="00000000" w:rsidR="00000000" w:rsidRPr="00000000">
        <w:rPr>
          <w:rFonts w:ascii="Times New Roman" w:cs="Times New Roman" w:eastAsia="Times New Roman" w:hAnsi="Times New Roman"/>
          <w:sz w:val="24"/>
          <w:szCs w:val="24"/>
          <w:highlight w:val="white"/>
          <w:rtl w:val="0"/>
        </w:rPr>
        <w:t xml:space="preserve">(id ROHU00332)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în vederea obținerii de finanțare externă nerambursabilă prin </w:t>
      </w:r>
      <w:r w:rsidDel="00000000" w:rsidR="00000000" w:rsidRPr="00000000">
        <w:rPr>
          <w:rFonts w:ascii="Times New Roman" w:cs="Times New Roman" w:eastAsia="Times New Roman" w:hAnsi="Times New Roman"/>
          <w:b w:val="1"/>
          <w:sz w:val="24"/>
          <w:szCs w:val="24"/>
          <w:highlight w:val="white"/>
          <w:rtl w:val="0"/>
        </w:rPr>
        <w:t xml:space="preserve">Programul Interreg VI-A România-Ungaria cu termen depunere 27.09.2023.</w:t>
      </w:r>
      <w:r w:rsidDel="00000000" w:rsidR="00000000" w:rsidRPr="00000000">
        <w:rPr>
          <w:rtl w:val="0"/>
        </w:rPr>
      </w:r>
    </w:p>
    <w:p w:rsidR="00000000" w:rsidDel="00000000" w:rsidP="00000000" w:rsidRDefault="00000000" w:rsidRPr="00000000" w14:paraId="00000005">
      <w:pPr>
        <w:spacing w:after="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propune ca obiectiv general consolidarea cooperării transfrontaliere pentru persoanele în vârstă active din Timișoara și Szeged prin</w:t>
      </w:r>
    </w:p>
    <w:p w:rsidR="00000000" w:rsidDel="00000000" w:rsidP="00000000" w:rsidRDefault="00000000" w:rsidRPr="00000000" w14:paraId="00000006">
      <w:pPr>
        <w:numPr>
          <w:ilvl w:val="0"/>
          <w:numId w:val="2"/>
        </w:numPr>
        <w:spacing w:after="0" w:afterAutospacing="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crearea unei metodologii comune de implicare a seniorilor, dezvoltată în schimburi transfrontaliere, de către specialiști care lucrează cu seniori,</w:t>
      </w:r>
    </w:p>
    <w:p w:rsidR="00000000" w:rsidDel="00000000" w:rsidP="00000000" w:rsidRDefault="00000000" w:rsidRPr="00000000" w14:paraId="00000007">
      <w:pPr>
        <w:numPr>
          <w:ilvl w:val="0"/>
          <w:numId w:val="2"/>
        </w:numPr>
        <w:spacing w:after="0" w:afterAutospacing="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implicarea a 90 de vârstnici din fiecare oraș în evenimente culturale locale de fiecare parte, ceea ce duce la creșterea gradului de conștientizare cu privire la moștenirea și tradițiile culturale</w:t>
      </w:r>
    </w:p>
    <w:p w:rsidR="00000000" w:rsidDel="00000000" w:rsidP="00000000" w:rsidRDefault="00000000" w:rsidRPr="00000000" w14:paraId="00000008">
      <w:pPr>
        <w:numPr>
          <w:ilvl w:val="0"/>
          <w:numId w:val="2"/>
        </w:numPr>
        <w:spacing w:after="200" w:lineRule="auto"/>
        <w:ind w:left="720" w:right="150.47244094488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și realizarea a 3 spectacole comune susținute de 30-45 de seniori, care să fie prezentate în ambele orașe la finalul proiectului.</w:t>
      </w:r>
    </w:p>
    <w:p w:rsidR="00000000" w:rsidDel="00000000" w:rsidP="00000000" w:rsidRDefault="00000000" w:rsidRPr="00000000" w14:paraId="00000009">
      <w:pPr>
        <w:ind w:left="141.73228346456688"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proiectului va fi de un an, în perioada estimată septembrie 2024 - august 2025.</w:t>
      </w:r>
    </w:p>
    <w:p w:rsidR="00000000" w:rsidDel="00000000" w:rsidP="00000000" w:rsidRDefault="00000000" w:rsidRPr="00000000" w14:paraId="0000000A">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În vederea depunerii proiectului, conform ghidului de finanțare, pentru </w:t>
      </w:r>
      <w:r w:rsidDel="00000000" w:rsidR="00000000" w:rsidRPr="00000000">
        <w:rPr>
          <w:rFonts w:ascii="Times New Roman" w:cs="Times New Roman" w:eastAsia="Times New Roman" w:hAnsi="Times New Roman"/>
          <w:sz w:val="24"/>
          <w:szCs w:val="24"/>
          <w:rtl w:val="0"/>
        </w:rPr>
        <w:t xml:space="preserve">Direcția de Asistență Socială a Municipiului Timișoara este necesară </w:t>
      </w:r>
      <w:r w:rsidDel="00000000" w:rsidR="00000000" w:rsidRPr="00000000">
        <w:rPr>
          <w:rFonts w:ascii="Times New Roman" w:cs="Times New Roman" w:eastAsia="Times New Roman" w:hAnsi="Times New Roman"/>
          <w:b w:val="1"/>
          <w:sz w:val="24"/>
          <w:szCs w:val="24"/>
          <w:rtl w:val="0"/>
        </w:rPr>
        <w:t xml:space="preserve">aprobarea disponibilității resurselor proprii și disponibilitatea temporară a fondurilor pentru implementare activităților proprii până la rambursare.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va contribui atât la creșterea capacităților beneficiarilor vârstnici implicați, de organizare, cooperare transfrontalieră, folosirea tehnologiei, îmbunătățirea stimei de sine, deschiderea de noi orizonturi, conducând în final la creșterea calității vieții.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Direcția de Asistență Socială va beneficia de activitățile și rezultatele proiectului atât din perspectiva profesionalizării angajaților proprii implicați în activități prin creșterea capacității lor de implementare proiecte cu finanțare externă, cooperarea și comunicarea transfrontalieră, adaptarea metodelor de lucru cu vârstnici prin includerea standardelor moderne și schimburilor de experiență cu partenerii unguri, cât și din perspectiva creării de parteneriate locale cu alte organizații care lucrează cu vârstnicii.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termen lung DASMT va folosi metodologia creată în proiect pentru implicarea vârstnicilor activi din Timișoara în diferite activități utile comunității și va continua organizarea anuală a schimburilor de experiență pentru vârstnicii din Timișoara și Szeged după finalizarea proiectului.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150.47244094488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 o valoare totală de </w:t>
      </w:r>
      <w:r w:rsidDel="00000000" w:rsidR="00000000" w:rsidRPr="00000000">
        <w:rPr>
          <w:rFonts w:ascii="Times New Roman" w:cs="Times New Roman" w:eastAsia="Times New Roman" w:hAnsi="Times New Roman"/>
          <w:b w:val="1"/>
          <w:sz w:val="24"/>
          <w:szCs w:val="24"/>
          <w:rtl w:val="0"/>
        </w:rPr>
        <w:t xml:space="preserve">234.975,00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dorește a fi implementat în parteneriat după cum urmează: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150.47244094488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Lider proiect 1 (</w:t>
      </w:r>
      <w:r w:rsidDel="00000000" w:rsidR="00000000" w:rsidRPr="00000000">
        <w:rPr>
          <w:rFonts w:ascii="Times New Roman" w:cs="Times New Roman" w:eastAsia="Times New Roman" w:hAnsi="Times New Roman"/>
          <w:sz w:val="24"/>
          <w:szCs w:val="24"/>
          <w:rtl w:val="0"/>
        </w:rPr>
        <w:t xml:space="preserve">Ungaria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Primăria Municipiului Szeged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buget partener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 </w:t>
      </w:r>
      <w:r w:rsidDel="00000000" w:rsidR="00000000" w:rsidRPr="00000000">
        <w:rPr>
          <w:rFonts w:ascii="Times New Roman" w:cs="Times New Roman" w:eastAsia="Times New Roman" w:hAnsi="Times New Roman"/>
          <w:b w:val="1"/>
          <w:sz w:val="24"/>
          <w:szCs w:val="24"/>
          <w:rtl w:val="0"/>
        </w:rPr>
        <w:t xml:space="preserve">120.000,00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euro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Partener 2 (România) – </w:t>
      </w:r>
      <w:r w:rsidDel="00000000" w:rsidR="00000000" w:rsidRPr="00000000">
        <w:rPr>
          <w:rFonts w:ascii="Times New Roman" w:cs="Times New Roman" w:eastAsia="Times New Roman" w:hAnsi="Times New Roman"/>
          <w:sz w:val="24"/>
          <w:szCs w:val="24"/>
          <w:rtl w:val="0"/>
        </w:rPr>
        <w:t xml:space="preserve">Direcția de Asistență Socială a Municipiului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Timișoara, buget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partener proiect </w:t>
      </w:r>
      <w:r w:rsidDel="00000000" w:rsidR="00000000" w:rsidRPr="00000000">
        <w:rPr>
          <w:rFonts w:ascii="Times New Roman" w:cs="Times New Roman" w:eastAsia="Times New Roman" w:hAnsi="Times New Roman"/>
          <w:b w:val="1"/>
          <w:sz w:val="24"/>
          <w:szCs w:val="24"/>
          <w:rtl w:val="0"/>
        </w:rPr>
        <w:t xml:space="preserve">114.975,00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euro</w:t>
      </w:r>
      <w:r w:rsidDel="00000000" w:rsidR="00000000" w:rsidRPr="00000000">
        <w:rPr>
          <w:rtl w:val="0"/>
        </w:rPr>
      </w:r>
    </w:p>
    <w:p w:rsidR="00000000" w:rsidDel="00000000" w:rsidP="00000000" w:rsidRDefault="00000000" w:rsidRPr="00000000" w14:paraId="00000011">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În concluzie, propunem următoarele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disponibilității resurselor proprii și disponibilitatea temporară a fondurilor pentru implementare activități până la rambursare pentru Direcția de Asistență Socială a Municipiului Timișoara în cadrul proiectului SENIOR: Smart Engagement Network Involving Older Residents in Timisoara and Szeged / SENIOR: Rețea de implicare inteligentă pentru rezidenți vârstnici din Timișoara și Szeged (id ROHU00332) </w:t>
      </w:r>
      <w:r w:rsidDel="00000000" w:rsidR="00000000" w:rsidRPr="00000000">
        <w:rPr>
          <w:rFonts w:ascii="Times New Roman" w:cs="Times New Roman" w:eastAsia="Times New Roman" w:hAnsi="Times New Roman"/>
          <w:sz w:val="24"/>
          <w:szCs w:val="24"/>
          <w:rtl w:val="0"/>
        </w:rPr>
        <w:t xml:space="preserve">după cum urmează:</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aprobarea acoperirii cheltuielilor (eligibile și neeligibile) aferente proiectului pentru Direcția de asistență Socială a Municipiului Timișoara;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contribuției proprii în procent de 2%, adică </w:t>
      </w:r>
      <w:r w:rsidDel="00000000" w:rsidR="00000000" w:rsidRPr="00000000">
        <w:rPr>
          <w:rFonts w:ascii="Times New Roman" w:cs="Times New Roman" w:eastAsia="Times New Roman" w:hAnsi="Times New Roman"/>
          <w:b w:val="1"/>
          <w:sz w:val="24"/>
          <w:szCs w:val="24"/>
          <w:rtl w:val="0"/>
        </w:rPr>
        <w:t xml:space="preserve">2.299,50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bugetul total eligibil care este de </w:t>
      </w:r>
      <w:r w:rsidDel="00000000" w:rsidR="00000000" w:rsidRPr="00000000">
        <w:rPr>
          <w:rFonts w:ascii="Times New Roman" w:cs="Times New Roman" w:eastAsia="Times New Roman" w:hAnsi="Times New Roman"/>
          <w:b w:val="1"/>
          <w:sz w:val="24"/>
          <w:szCs w:val="24"/>
          <w:rtl w:val="0"/>
        </w:rPr>
        <w:t xml:space="preserve">114.975,00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Direcția de asistență Socială a Municipiului Timișoara;</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08.6614173228347" w:right="150.4724409448835"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disponibilității temporare a fondurilor până la rambursarea acestora de către program pentru Direcția de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sistență Socială a Municipiului Timișoara;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50.4724409448835"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765.0" w:type="dxa"/>
        <w:jc w:val="left"/>
        <w:tblInd w:w="141.73228346456688"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805"/>
        <w:gridCol w:w="3705"/>
        <w:gridCol w:w="3255"/>
        <w:tblGridChange w:id="0">
          <w:tblGrid>
            <w:gridCol w:w="2805"/>
            <w:gridCol w:w="3705"/>
            <w:gridCol w:w="325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w:t>
            </w:r>
          </w:p>
        </w:tc>
        <w:tc>
          <w:tcPr>
            <w:shd w:fill="auto" w:val="clear"/>
            <w:tcMar>
              <w:top w:w="0.0" w:type="dxa"/>
              <w:left w:w="0.0" w:type="dxa"/>
              <w:bottom w:w="0.0" w:type="dxa"/>
              <w:right w:w="0.0" w:type="dxa"/>
            </w:tcMar>
            <w:vAlign w:val="top"/>
          </w:tcPr>
          <w:p w:rsidR="00000000" w:rsidDel="00000000" w:rsidP="00000000" w:rsidRDefault="00000000" w:rsidRPr="00000000" w14:paraId="00000018">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 adjunct</w:t>
            </w:r>
          </w:p>
        </w:tc>
        <w:tc>
          <w:tcPr>
            <w:shd w:fill="auto" w:val="clear"/>
            <w:tcMar>
              <w:top w:w="0.0" w:type="dxa"/>
              <w:left w:w="0.0" w:type="dxa"/>
              <w:bottom w:w="0.0" w:type="dxa"/>
              <w:right w:w="0.0" w:type="dxa"/>
            </w:tcMar>
            <w:vAlign w:val="top"/>
          </w:tcPr>
          <w:p w:rsidR="00000000" w:rsidDel="00000000" w:rsidP="00000000" w:rsidRDefault="00000000" w:rsidRPr="00000000" w14:paraId="00000019">
            <w:pPr>
              <w:spacing w:after="0" w:line="240" w:lineRule="auto"/>
              <w:ind w:left="-15" w:right="68.6220472440942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Șef Serviciu Dezvoltare Strategii Programe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A">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Emese ESZTERO</w:t>
            </w:r>
          </w:p>
        </w:tc>
        <w:tc>
          <w:tcPr>
            <w:shd w:fill="auto" w:val="clear"/>
            <w:tcMar>
              <w:top w:w="0.0" w:type="dxa"/>
              <w:left w:w="0.0" w:type="dxa"/>
              <w:bottom w:w="0.0" w:type="dxa"/>
              <w:right w:w="0.0" w:type="dxa"/>
            </w:tcMar>
            <w:vAlign w:val="top"/>
          </w:tcPr>
          <w:p w:rsidR="00000000" w:rsidDel="00000000" w:rsidP="00000000" w:rsidRDefault="00000000" w:rsidRPr="00000000" w14:paraId="0000001B">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Gheorghe Florin VOICHESCU</w:t>
            </w:r>
          </w:p>
        </w:tc>
        <w:tc>
          <w:tcPr>
            <w:shd w:fill="auto" w:val="clear"/>
            <w:tcMar>
              <w:top w:w="0.0" w:type="dxa"/>
              <w:left w:w="0.0" w:type="dxa"/>
              <w:bottom w:w="0.0" w:type="dxa"/>
              <w:right w:w="0.0" w:type="dxa"/>
            </w:tcMar>
            <w:vAlign w:val="top"/>
          </w:tcPr>
          <w:p w:rsidR="00000000" w:rsidDel="00000000" w:rsidP="00000000" w:rsidRDefault="00000000" w:rsidRPr="00000000" w14:paraId="0000001C">
            <w:pPr>
              <w:spacing w:after="0" w:before="0" w:line="240" w:lineRule="auto"/>
              <w:ind w:left="-15" w:right="68.622047244094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Codruța DARIDA</w:t>
            </w:r>
          </w:p>
        </w:tc>
      </w:tr>
    </w:tbl>
    <w:p w:rsidR="00000000" w:rsidDel="00000000" w:rsidP="00000000" w:rsidRDefault="00000000" w:rsidRPr="00000000" w14:paraId="0000001D">
      <w:pPr>
        <w:spacing w:after="20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Întocmit,</w:t>
      </w:r>
    </w:p>
    <w:p w:rsidR="00000000" w:rsidDel="00000000" w:rsidP="00000000" w:rsidRDefault="00000000" w:rsidRPr="00000000" w14:paraId="00000020">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 Tătar </w:t>
      </w:r>
    </w:p>
    <w:p w:rsidR="00000000" w:rsidDel="00000000" w:rsidP="00000000" w:rsidRDefault="00000000" w:rsidRPr="00000000" w14:paraId="00000021">
      <w:pPr>
        <w:spacing w:after="0" w:line="240" w:lineRule="auto"/>
        <w:ind w:left="141.73228346456688" w:right="150.47244094488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Dana Lazăr</w:t>
      </w:r>
    </w:p>
    <w:p w:rsidR="00000000" w:rsidDel="00000000" w:rsidP="00000000" w:rsidRDefault="00000000" w:rsidRPr="00000000" w14:paraId="00000022">
      <w:pPr>
        <w:spacing w:after="200" w:line="240" w:lineRule="auto"/>
        <w:ind w:left="0" w:right="150.472440944883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Cod FO53-01, ver.2</w:t>
      </w:r>
      <w:r w:rsidDel="00000000" w:rsidR="00000000" w:rsidRPr="00000000">
        <w:rPr>
          <w:rFonts w:ascii="Times New Roman" w:cs="Times New Roman" w:eastAsia="Times New Roman" w:hAnsi="Times New Roman"/>
          <w:b w:val="1"/>
          <w:sz w:val="24"/>
          <w:szCs w:val="24"/>
          <w:rtl w:val="0"/>
        </w:rPr>
        <w:tab/>
        <w:tab/>
        <w:tab/>
        <w:tab/>
        <w:t xml:space="preserve"> </w:t>
      </w:r>
    </w:p>
    <w:sectPr>
      <w:headerReference r:id="rId7" w:type="default"/>
      <w:footerReference r:id="rId8" w:type="default"/>
      <w:pgSz w:h="16838" w:w="11906" w:orient="portrait"/>
      <w:pgMar w:bottom="0" w:top="1168" w:left="993" w:right="991" w:header="425"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101600</wp:posOffset>
              </wp:positionH>
              <wp:positionV relativeFrom="paragraph">
                <wp:posOffset>12700</wp:posOffset>
              </wp:positionV>
              <wp:extent cx="6315075" cy="974090"/>
              <wp:effectExtent b="0" l="0" r="0" t="0"/>
              <wp:wrapNone/>
              <wp:docPr id="21" name=""/>
              <a:graphic>
                <a:graphicData uri="http://schemas.microsoft.com/office/word/2010/wordprocessingShape">
                  <wps:wsp>
                    <wps:cNvSpPr/>
                    <wps:cNvPr id="2" name="Shape 2"/>
                    <wps:spPr>
                      <a:xfrm>
                        <a:off x="2193225" y="3297718"/>
                        <a:ext cx="6305550" cy="96456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12700</wp:posOffset>
              </wp:positionV>
              <wp:extent cx="6315075" cy="974090"/>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315075" cy="97409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center" w:leader="none" w:pos="5244"/>
      </w:tabs>
      <w:spacing w:after="0" w:before="0" w:line="240" w:lineRule="auto"/>
      <w:ind w:left="-14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*Sediu administrativ: Str. Ioan Plavosin Nr. 21 Tel: 0356/416050 Fax: 0356/416049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dastimisoara@gmail.com</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22709" cy="305399"/>
          <wp:effectExtent b="0" l="0" r="0" t="0"/>
          <wp:docPr id="2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022709" cy="3053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24625" cy="1210945"/>
              <wp:effectExtent b="0" l="0" r="0" t="0"/>
              <wp:wrapNone/>
              <wp:docPr id="22" name=""/>
              <a:graphic>
                <a:graphicData uri="http://schemas.microsoft.com/office/word/2010/wordprocessingShape">
                  <wps:wsp>
                    <wps:cNvSpPr/>
                    <wps:cNvPr id="3" name="Shape 3"/>
                    <wps:spPr>
                      <a:xfrm>
                        <a:off x="2088450" y="3179290"/>
                        <a:ext cx="6515100" cy="120142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24625" cy="1210945"/>
              <wp:effectExtent b="0" l="0" r="0" t="0"/>
              <wp:wrapNone/>
              <wp:docPr id="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24625" cy="121094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744440" cy="913547"/>
          <wp:effectExtent b="0" l="0" r="0" t="0"/>
          <wp:wrapNone/>
          <wp:docPr descr="logo1" id="25" name="image3.png"/>
          <a:graphic>
            <a:graphicData uri="http://schemas.openxmlformats.org/drawingml/2006/picture">
              <pic:pic>
                <pic:nvPicPr>
                  <pic:cNvPr descr="logo1" id="0" name="image3.png"/>
                  <pic:cNvPicPr preferRelativeResize="0"/>
                </pic:nvPicPr>
                <pic:blipFill>
                  <a:blip r:embed="rId2"/>
                  <a:srcRect b="0" l="0" r="0" t="0"/>
                  <a:stretch>
                    <a:fillRect/>
                  </a:stretch>
                </pic:blipFill>
                <pic:spPr>
                  <a:xfrm>
                    <a:off x="0" y="0"/>
                    <a:ext cx="744440" cy="913547"/>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r w:rsidDel="00000000" w:rsidR="00000000" w:rsidRPr="00000000">
      <w:drawing>
        <wp:anchor allowOverlap="1" behindDoc="1" distB="0" distT="0" distL="0" distR="0" hidden="0" layoutInCell="1" locked="0" relativeHeight="0" simplePos="0">
          <wp:simplePos x="0" y="0"/>
          <wp:positionH relativeFrom="column">
            <wp:posOffset>5708015</wp:posOffset>
          </wp:positionH>
          <wp:positionV relativeFrom="paragraph">
            <wp:posOffset>12065</wp:posOffset>
          </wp:positionV>
          <wp:extent cx="655320" cy="815340"/>
          <wp:effectExtent b="0" l="0" r="0" t="0"/>
          <wp:wrapNone/>
          <wp:docPr descr="d:\Users\Dorian\Downloads\20049574_746531602192446_498538114_o.png" id="23" name="image1.png"/>
          <a:graphic>
            <a:graphicData uri="http://schemas.openxmlformats.org/drawingml/2006/picture">
              <pic:pic>
                <pic:nvPicPr>
                  <pic:cNvPr descr="d:\Users\Dorian\Downloads\20049574_746531602192446_498538114_o.png" id="0" name="image1.png"/>
                  <pic:cNvPicPr preferRelativeResize="0"/>
                </pic:nvPicPr>
                <pic:blipFill>
                  <a:blip r:embed="rId3"/>
                  <a:srcRect b="0" l="0" r="0" t="0"/>
                  <a:stretch>
                    <a:fillRect/>
                  </a:stretch>
                </pic:blipFill>
                <pic:spPr>
                  <a:xfrm>
                    <a:off x="0" y="0"/>
                    <a:ext cx="655320" cy="815340"/>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9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24C7"/>
    <w:pPr>
      <w:spacing w:after="200" w:line="276" w:lineRule="auto"/>
    </w:pPr>
    <w:rPr>
      <w:sz w:val="22"/>
      <w:szCs w:val="22"/>
      <w:lang w:eastAsia="ro-RO"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TextnBalon">
    <w:name w:val="Balloon Text"/>
    <w:basedOn w:val="Normal"/>
    <w:link w:val="TextnBalonCaracter"/>
    <w:uiPriority w:val="99"/>
    <w:semiHidden w:val="1"/>
    <w:unhideWhenUsed w:val="1"/>
    <w:rsid w:val="002A591E"/>
    <w:pPr>
      <w:spacing w:after="0" w:line="240" w:lineRule="auto"/>
    </w:pPr>
    <w:rPr>
      <w:rFonts w:ascii="Tahoma" w:hAnsi="Tahoma"/>
      <w:sz w:val="16"/>
      <w:szCs w:val="16"/>
    </w:rPr>
  </w:style>
  <w:style w:type="character" w:styleId="TextnBalonCaracter" w:customStyle="1">
    <w:name w:val="Text în Balon Caracter"/>
    <w:link w:val="TextnBalon"/>
    <w:uiPriority w:val="99"/>
    <w:semiHidden w:val="1"/>
    <w:rsid w:val="002A591E"/>
    <w:rPr>
      <w:rFonts w:ascii="Tahoma" w:cs="Tahoma" w:hAnsi="Tahoma"/>
      <w:sz w:val="16"/>
      <w:szCs w:val="16"/>
    </w:rPr>
  </w:style>
  <w:style w:type="paragraph" w:styleId="Frspaiere">
    <w:name w:val="No Spacing"/>
    <w:link w:val="FrspaiereCaracter"/>
    <w:uiPriority w:val="1"/>
    <w:qFormat w:val="1"/>
    <w:rsid w:val="002A591E"/>
    <w:rPr>
      <w:sz w:val="22"/>
      <w:szCs w:val="22"/>
      <w:lang w:eastAsia="ro-RO" w:val="ro-RO"/>
    </w:rPr>
  </w:style>
  <w:style w:type="character" w:styleId="Hyperlink">
    <w:name w:val="Hyperlink"/>
    <w:uiPriority w:val="99"/>
    <w:unhideWhenUsed w:val="1"/>
    <w:rsid w:val="00C46446"/>
    <w:rPr>
      <w:color w:val="0000ff"/>
      <w:u w:val="single"/>
    </w:rPr>
  </w:style>
  <w:style w:type="paragraph" w:styleId="Antet">
    <w:name w:val="header"/>
    <w:basedOn w:val="Normal"/>
    <w:link w:val="AntetCaracter"/>
    <w:uiPriority w:val="99"/>
    <w:unhideWhenUsed w:val="1"/>
    <w:rsid w:val="005F3A6D"/>
    <w:pPr>
      <w:tabs>
        <w:tab w:val="center" w:pos="4536"/>
        <w:tab w:val="right" w:pos="9072"/>
      </w:tabs>
    </w:pPr>
  </w:style>
  <w:style w:type="character" w:styleId="AntetCaracter" w:customStyle="1">
    <w:name w:val="Antet Caracter"/>
    <w:link w:val="Antet"/>
    <w:uiPriority w:val="99"/>
    <w:rsid w:val="005F3A6D"/>
    <w:rPr>
      <w:sz w:val="22"/>
      <w:szCs w:val="22"/>
    </w:rPr>
  </w:style>
  <w:style w:type="paragraph" w:styleId="Subsol">
    <w:name w:val="footer"/>
    <w:basedOn w:val="Normal"/>
    <w:link w:val="SubsolCaracter"/>
    <w:uiPriority w:val="99"/>
    <w:unhideWhenUsed w:val="1"/>
    <w:rsid w:val="005F3A6D"/>
    <w:pPr>
      <w:tabs>
        <w:tab w:val="center" w:pos="4536"/>
        <w:tab w:val="right" w:pos="9072"/>
      </w:tabs>
    </w:pPr>
  </w:style>
  <w:style w:type="character" w:styleId="SubsolCaracter" w:customStyle="1">
    <w:name w:val="Subsol Caracter"/>
    <w:link w:val="Subsol"/>
    <w:uiPriority w:val="99"/>
    <w:rsid w:val="005F3A6D"/>
    <w:rPr>
      <w:sz w:val="22"/>
      <w:szCs w:val="22"/>
    </w:rPr>
  </w:style>
  <w:style w:type="paragraph" w:styleId="Subtitlu">
    <w:name w:val="Subtitle"/>
    <w:basedOn w:val="Normal"/>
    <w:next w:val="Normal"/>
    <w:link w:val="SubtitluCaracter"/>
    <w:qFormat w:val="1"/>
    <w:rsid w:val="000D3AE8"/>
    <w:pPr>
      <w:spacing w:after="60"/>
      <w:jc w:val="center"/>
      <w:outlineLvl w:val="1"/>
    </w:pPr>
    <w:rPr>
      <w:rFonts w:ascii="Cambria" w:hAnsi="Cambria"/>
      <w:sz w:val="24"/>
      <w:szCs w:val="24"/>
      <w:lang w:eastAsia="en-US" w:val="en-US"/>
    </w:rPr>
  </w:style>
  <w:style w:type="character" w:styleId="SubtitluCaracter" w:customStyle="1">
    <w:name w:val="Subtitlu Caracter"/>
    <w:link w:val="Subtitlu"/>
    <w:rsid w:val="000D3AE8"/>
    <w:rPr>
      <w:rFonts w:ascii="Cambria" w:hAnsi="Cambria"/>
      <w:sz w:val="24"/>
      <w:szCs w:val="24"/>
      <w:lang w:eastAsia="en-US" w:val="en-US"/>
    </w:rPr>
  </w:style>
  <w:style w:type="character" w:styleId="FrspaiereCaracter" w:customStyle="1">
    <w:name w:val="Fără spațiere Caracter"/>
    <w:link w:val="Frspaiere"/>
    <w:uiPriority w:val="1"/>
    <w:locked w:val="1"/>
    <w:rsid w:val="00AB45BD"/>
    <w:rPr>
      <w:sz w:val="22"/>
      <w:szCs w:val="22"/>
      <w:lang w:bidi="ar-SA" w:eastAsia="ro-RO" w:val="ro-RO"/>
    </w:rPr>
  </w:style>
  <w:style w:type="paragraph" w:styleId="Listparagraf">
    <w:name w:val="List Paragraph"/>
    <w:aliases w:val="Akapit z listą BS,Outlines a.b.c.,List_Paragraph,Multilevel para_II,Akapit z lista BS,Normal bullet 2,List Paragraph1,Listă colorată - Accentuare 11,body 2,List Paragraph11,List Paragraph111"/>
    <w:basedOn w:val="Normal"/>
    <w:link w:val="ListparagrafCaracter"/>
    <w:uiPriority w:val="34"/>
    <w:qFormat w:val="1"/>
    <w:rsid w:val="00B15B4E"/>
    <w:pPr>
      <w:ind w:left="720"/>
      <w:contextualSpacing w:val="1"/>
    </w:pPr>
  </w:style>
  <w:style w:type="character" w:styleId="Robust">
    <w:name w:val="Strong"/>
    <w:uiPriority w:val="22"/>
    <w:qFormat w:val="1"/>
    <w:rsid w:val="00B15B4E"/>
    <w:rPr>
      <w:b w:val="1"/>
      <w:bCs w:val="1"/>
    </w:rPr>
  </w:style>
  <w:style w:type="character" w:styleId="ListparagrafCaracter" w:customStyle="1">
    <w:name w:val="Listă paragraf Caracter"/>
    <w:aliases w:val="Akapit z listą BS Caracter,Outlines a.b.c. Caracter,List_Paragraph Caracter,Multilevel para_II Caracter,Akapit z lista BS Caracter,Normal bullet 2 Caracter,List Paragraph1 Caracter,Listă colorată - Accentuare 11 Caracter"/>
    <w:link w:val="Listparagraf"/>
    <w:uiPriority w:val="34"/>
    <w:locked w:val="1"/>
    <w:rsid w:val="00B15B4E"/>
    <w:rPr>
      <w:sz w:val="22"/>
      <w:szCs w:val="22"/>
      <w:lang w:eastAsia="ro-RO" w:val="ro-RO"/>
    </w:rPr>
  </w:style>
  <w:style w:type="character" w:styleId="ln2talineat" w:customStyle="1">
    <w:name w:val="ln2talineat"/>
    <w:basedOn w:val="Fontdeparagrafimplicit"/>
    <w:rsid w:val="001B615A"/>
  </w:style>
  <w:style w:type="paragraph" w:styleId="Default" w:customStyle="1">
    <w:name w:val="Default"/>
    <w:rsid w:val="00B151AD"/>
    <w:pPr>
      <w:autoSpaceDE w:val="0"/>
      <w:autoSpaceDN w:val="0"/>
      <w:adjustRightInd w:val="0"/>
    </w:pPr>
    <w:rPr>
      <w:rFonts w:ascii="Times New Roman" w:hAnsi="Times New Roman"/>
      <w:color w:val="000000"/>
      <w:sz w:val="24"/>
      <w:szCs w:val="24"/>
    </w:rPr>
  </w:style>
  <w:style w:type="paragraph" w:styleId="spar" w:customStyle="1">
    <w:name w:val="s_par"/>
    <w:basedOn w:val="Normal"/>
    <w:rsid w:val="00B151AD"/>
    <w:pPr>
      <w:spacing w:after="0" w:line="240" w:lineRule="auto"/>
      <w:ind w:left="188"/>
    </w:pPr>
    <w:rPr>
      <w:rFonts w:ascii="Times New Roman" w:hAnsi="Times New Roman"/>
      <w:sz w:val="24"/>
      <w:szCs w:val="24"/>
    </w:rPr>
  </w:style>
  <w:style w:type="character" w:styleId="textexposedshow" w:customStyle="1">
    <w:name w:val="text_exposed_show"/>
    <w:basedOn w:val="Fontdeparagrafimplicit"/>
    <w:rsid w:val="00F170F0"/>
  </w:style>
  <w:style w:type="paragraph" w:styleId="NormalWeb">
    <w:name w:val="Normal (Web)"/>
    <w:basedOn w:val="Normal"/>
    <w:uiPriority w:val="99"/>
    <w:unhideWhenUsed w:val="1"/>
    <w:rsid w:val="00AF21F9"/>
    <w:pPr>
      <w:spacing w:after="100" w:afterAutospacing="1" w:before="100" w:beforeAutospacing="1" w:line="240" w:lineRule="auto"/>
    </w:pPr>
    <w:rPr>
      <w:rFonts w:ascii="Times New Roman" w:hAnsi="Times New Roman"/>
      <w:sz w:val="24"/>
      <w:szCs w:val="24"/>
    </w:rPr>
  </w:style>
  <w:style w:type="paragraph" w:styleId="Textnotdesubsol">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TextnotdesubsolCaracter"/>
    <w:uiPriority w:val="99"/>
    <w:rsid w:val="00A71D67"/>
    <w:pPr>
      <w:suppressLineNumbers w:val="1"/>
      <w:suppressAutoHyphens w:val="1"/>
      <w:spacing w:after="0" w:line="100" w:lineRule="atLeast"/>
      <w:ind w:left="283" w:hanging="283"/>
    </w:pPr>
    <w:rPr>
      <w:rFonts w:ascii="PF Square Sans Pro Medium" w:hAnsi="PF Square Sans Pro Medium"/>
      <w:color w:val="000000"/>
      <w:sz w:val="20"/>
      <w:szCs w:val="20"/>
      <w:lang w:eastAsia="ar-SA" w:val="x-none"/>
    </w:rPr>
  </w:style>
  <w:style w:type="character" w:styleId="TextnotdesubsolCaracter" w:customStyle="1">
    <w:name w:val="Text notă de subsol Caracter"/>
    <w:aliases w:val="Footnote Text Char Char Caracter,Fußnote Caracter,single space Caracter,FOOTNOTES Caracter,fn Caracter,Podrozdział Caracter,Footnote Caracter,fn Char Char Char Caracter,fn Char Char Caracter,fn Char Caracter,stile 1 Caracter"/>
    <w:basedOn w:val="Fontdeparagrafimplicit"/>
    <w:link w:val="Textnotdesubsol"/>
    <w:uiPriority w:val="99"/>
    <w:rsid w:val="00A71D67"/>
    <w:rPr>
      <w:rFonts w:ascii="PF Square Sans Pro Medium" w:hAnsi="PF Square Sans Pro Medium"/>
      <w:color w:val="000000"/>
      <w:lang w:eastAsia="ar-SA" w:val="x-none"/>
    </w:rPr>
  </w:style>
  <w:style w:type="character" w:styleId="ui-column-title1" w:customStyle="1">
    <w:name w:val="ui-column-title1"/>
    <w:basedOn w:val="Fontdeparagrafimplicit"/>
    <w:rsid w:val="00A71D67"/>
  </w:style>
  <w:style w:type="character" w:styleId="Accentuaresubtil">
    <w:name w:val="Subtle Emphasis"/>
    <w:basedOn w:val="Fontdeparagrafimplicit"/>
    <w:uiPriority w:val="19"/>
    <w:qFormat w:val="1"/>
    <w:rsid w:val="00704517"/>
    <w:rPr>
      <w:i w:val="1"/>
      <w:iCs w:val="1"/>
      <w:color w:val="808080"/>
    </w:rPr>
  </w:style>
  <w:style w:type="paragraph" w:styleId="PreformatatHTML">
    <w:name w:val="HTML Preformatted"/>
    <w:basedOn w:val="Normal"/>
    <w:link w:val="PreformatatHTMLCaracter"/>
    <w:uiPriority w:val="99"/>
    <w:unhideWhenUsed w:val="1"/>
    <w:rsid w:val="00CA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sz w:val="20"/>
      <w:szCs w:val="20"/>
    </w:rPr>
  </w:style>
  <w:style w:type="character" w:styleId="PreformatatHTMLCaracter" w:customStyle="1">
    <w:name w:val="Preformatat HTML Caracter"/>
    <w:basedOn w:val="Fontdeparagrafimplicit"/>
    <w:link w:val="PreformatatHTML"/>
    <w:uiPriority w:val="99"/>
    <w:rsid w:val="00CA78E5"/>
    <w:rPr>
      <w:rFonts w:ascii="Courier New" w:cs="Courier New" w:hAnsi="Courier New"/>
      <w:lang w:eastAsia="ro-RO" w:val="ro-RO"/>
    </w:rPr>
  </w:style>
  <w:style w:type="character" w:styleId="slitbdy" w:customStyle="1">
    <w:name w:val="s_lit_bdy"/>
    <w:rsid w:val="005348F1"/>
  </w:style>
  <w:style w:type="character" w:styleId="spctttl1" w:customStyle="1">
    <w:name w:val="s_pct_ttl1"/>
    <w:rsid w:val="00F005D2"/>
    <w:rPr>
      <w:rFonts w:ascii="Verdana" w:hAnsi="Verdana" w:hint="default"/>
      <w:b w:val="1"/>
      <w:bCs w:val="1"/>
      <w:color w:val="8b0000"/>
      <w:sz w:val="20"/>
      <w:szCs w:val="20"/>
      <w:shd w:color="auto" w:fill="ffffff" w:val="clear"/>
    </w:rPr>
  </w:style>
  <w:style w:type="paragraph" w:styleId="yiv3943979417ydp93e8d5b0msonormal" w:customStyle="1">
    <w:name w:val="yiv3943979417ydp93e8d5b0msonormal"/>
    <w:basedOn w:val="Normal"/>
    <w:rsid w:val="00F005D2"/>
    <w:pPr>
      <w:spacing w:after="100" w:afterAutospacing="1" w:before="100" w:beforeAutospacing="1" w:line="240" w:lineRule="auto"/>
    </w:pPr>
    <w:rPr>
      <w:rFonts w:ascii="Times New Roman" w:hAnsi="Times New Roman"/>
      <w:sz w:val="24"/>
      <w:szCs w:val="24"/>
      <w:lang w:eastAsia="en-US" w:val="en-US"/>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about:blank"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88cEa1IkFqZ2zq3NSaatGtgg==">CgMxLjAyDmguc3E2emY5NmQyNjJ5MghoLmdqZGd4czIJaC4zMGowemxsOAByITFYc3BtdmtTQVlnYnQ2a3FZSGZnaUo3VGFWMmVzbzVjTA==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2023-02-21T07:50:00Z</dcterms:created>
  <dc:creator>Dorian</dc:creator>
</cp:coreProperties>
</file>