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0647" w:type="dxa"/>
        <w:tblBorders>
          <w:bottom w:val="single" w:sz="4" w:space="0" w:color="auto"/>
        </w:tblBorders>
        <w:tblLayout w:type="fixed"/>
        <w:tblLook w:val="0000"/>
      </w:tblPr>
      <w:tblGrid>
        <w:gridCol w:w="6376"/>
        <w:gridCol w:w="2984"/>
        <w:gridCol w:w="1287"/>
      </w:tblGrid>
      <w:tr w:rsidR="003804AE" w:rsidRPr="008F21BF" w:rsidTr="003804AE">
        <w:trPr>
          <w:trHeight w:val="713"/>
        </w:trPr>
        <w:tc>
          <w:tcPr>
            <w:tcW w:w="6376" w:type="dxa"/>
            <w:tcBorders>
              <w:top w:val="nil"/>
              <w:left w:val="nil"/>
              <w:bottom w:val="nil"/>
              <w:right w:val="nil"/>
            </w:tcBorders>
            <w:shd w:val="clear" w:color="auto" w:fill="auto"/>
          </w:tcPr>
          <w:p w:rsidR="003804AE" w:rsidRPr="008F21BF" w:rsidRDefault="003804AE" w:rsidP="003804AE">
            <w:pPr>
              <w:jc w:val="both"/>
              <w:rPr>
                <w:lang w:val="ro-RO"/>
              </w:rPr>
            </w:pPr>
            <w:r w:rsidRPr="008F21BF">
              <w:rPr>
                <w:lang w:val="ro-RO"/>
              </w:rPr>
              <w:t xml:space="preserve">ROMÂNIA </w:t>
            </w:r>
          </w:p>
          <w:p w:rsidR="003804AE" w:rsidRPr="008F21BF" w:rsidRDefault="003804AE" w:rsidP="003804AE">
            <w:pPr>
              <w:jc w:val="both"/>
              <w:rPr>
                <w:lang w:val="ro-RO"/>
              </w:rPr>
            </w:pPr>
            <w:r w:rsidRPr="008F21BF">
              <w:rPr>
                <w:lang w:val="ro-RO"/>
              </w:rPr>
              <w:t>JUDEŢUL TIMIŞ</w:t>
            </w:r>
          </w:p>
          <w:p w:rsidR="003804AE" w:rsidRPr="008F21BF" w:rsidRDefault="003804AE" w:rsidP="003804AE">
            <w:pPr>
              <w:jc w:val="both"/>
              <w:rPr>
                <w:lang w:val="ro-RO"/>
              </w:rPr>
            </w:pPr>
            <w:r w:rsidRPr="008F21BF">
              <w:rPr>
                <w:lang w:val="ro-RO"/>
              </w:rPr>
              <w:t>MUNICIPIUL   TIMIŞOARA</w:t>
            </w:r>
          </w:p>
          <w:p w:rsidR="003804AE" w:rsidRPr="008F21BF" w:rsidRDefault="003804AE" w:rsidP="003804AE">
            <w:pPr>
              <w:jc w:val="both"/>
              <w:rPr>
                <w:lang w:val="ro-RO"/>
              </w:rPr>
            </w:pPr>
            <w:r w:rsidRPr="008F21BF">
              <w:rPr>
                <w:lang w:val="ro-RO"/>
              </w:rPr>
              <w:t>DIRECTIA TEHNICĂ</w:t>
            </w:r>
          </w:p>
          <w:p w:rsidR="003804AE" w:rsidRPr="008F21BF" w:rsidRDefault="003804AE" w:rsidP="003804AE">
            <w:pPr>
              <w:jc w:val="both"/>
              <w:rPr>
                <w:lang w:val="ro-RO"/>
              </w:rPr>
            </w:pPr>
            <w:r w:rsidRPr="008F21BF">
              <w:rPr>
                <w:lang w:val="ro-RO"/>
              </w:rPr>
              <w:t>SERVICIUL  TRANSPORT ŞI SIGURANŢA CIRCULAŢIEI</w:t>
            </w:r>
          </w:p>
          <w:p w:rsidR="003804AE" w:rsidRPr="008F21BF" w:rsidRDefault="003804AE" w:rsidP="003804AE">
            <w:pPr>
              <w:jc w:val="both"/>
              <w:rPr>
                <w:lang w:val="ro-RO"/>
              </w:rPr>
            </w:pPr>
            <w:r w:rsidRPr="008F21BF">
              <w:rPr>
                <w:lang w:val="ro-RO"/>
              </w:rPr>
              <w:t>BIROUL TRANSPORT</w:t>
            </w:r>
          </w:p>
          <w:p w:rsidR="003804AE" w:rsidRPr="008F21BF" w:rsidRDefault="003804AE" w:rsidP="003804AE">
            <w:pPr>
              <w:jc w:val="both"/>
              <w:rPr>
                <w:sz w:val="6"/>
                <w:szCs w:val="6"/>
                <w:lang w:val="ro-RO"/>
              </w:rPr>
            </w:pPr>
            <w:r w:rsidRPr="008F21BF">
              <w:rPr>
                <w:lang w:val="ro-RO"/>
              </w:rPr>
              <w:t>NR.</w:t>
            </w:r>
          </w:p>
        </w:tc>
        <w:tc>
          <w:tcPr>
            <w:tcW w:w="2984" w:type="dxa"/>
            <w:tcBorders>
              <w:top w:val="nil"/>
              <w:left w:val="nil"/>
              <w:bottom w:val="nil"/>
              <w:right w:val="nil"/>
            </w:tcBorders>
            <w:shd w:val="clear" w:color="auto" w:fill="auto"/>
          </w:tcPr>
          <w:p w:rsidR="003804AE" w:rsidRPr="008F21BF" w:rsidRDefault="003804AE" w:rsidP="003804AE">
            <w:pPr>
              <w:rPr>
                <w:lang w:val="ro-RO"/>
              </w:rPr>
            </w:pPr>
          </w:p>
          <w:p w:rsidR="003804AE" w:rsidRPr="008F21BF" w:rsidRDefault="003804AE" w:rsidP="003804AE">
            <w:pPr>
              <w:rPr>
                <w:lang w:val="ro-RO"/>
              </w:rPr>
            </w:pPr>
          </w:p>
          <w:p w:rsidR="003804AE" w:rsidRPr="008F21BF" w:rsidRDefault="003804AE" w:rsidP="003804AE">
            <w:pPr>
              <w:jc w:val="center"/>
              <w:rPr>
                <w:lang w:val="ro-RO"/>
              </w:rPr>
            </w:pPr>
            <w:r w:rsidRPr="008F21BF">
              <w:rPr>
                <w:lang w:val="ro-RO"/>
              </w:rPr>
              <w:t>APROBAT</w:t>
            </w:r>
          </w:p>
          <w:p w:rsidR="003804AE" w:rsidRPr="008F21BF" w:rsidRDefault="003804AE" w:rsidP="003804AE">
            <w:pPr>
              <w:jc w:val="center"/>
              <w:rPr>
                <w:lang w:val="ro-RO"/>
              </w:rPr>
            </w:pPr>
            <w:r w:rsidRPr="008F21BF">
              <w:rPr>
                <w:lang w:val="ro-RO"/>
              </w:rPr>
              <w:t>PRIMAR</w:t>
            </w:r>
          </w:p>
          <w:p w:rsidR="003804AE" w:rsidRPr="008F21BF" w:rsidRDefault="003804AE" w:rsidP="003804AE">
            <w:pPr>
              <w:jc w:val="center"/>
              <w:rPr>
                <w:lang w:val="ro-RO"/>
              </w:rPr>
            </w:pPr>
            <w:r w:rsidRPr="008F21BF">
              <w:rPr>
                <w:lang w:val="ro-RO"/>
              </w:rPr>
              <w:t>NICOLAE ROBU</w:t>
            </w:r>
          </w:p>
        </w:tc>
        <w:tc>
          <w:tcPr>
            <w:tcW w:w="1287" w:type="dxa"/>
            <w:tcBorders>
              <w:top w:val="nil"/>
              <w:left w:val="nil"/>
              <w:bottom w:val="nil"/>
              <w:right w:val="nil"/>
            </w:tcBorders>
            <w:shd w:val="clear" w:color="auto" w:fill="auto"/>
          </w:tcPr>
          <w:p w:rsidR="003804AE" w:rsidRPr="008F21BF" w:rsidRDefault="003804AE" w:rsidP="003804AE">
            <w:pPr>
              <w:jc w:val="center"/>
              <w:rPr>
                <w:lang w:val="ro-RO"/>
              </w:rPr>
            </w:pPr>
          </w:p>
        </w:tc>
      </w:tr>
      <w:tr w:rsidR="003804AE" w:rsidRPr="008F21BF" w:rsidTr="003804AE">
        <w:trPr>
          <w:cantSplit/>
          <w:trHeight w:val="241"/>
        </w:trPr>
        <w:tc>
          <w:tcPr>
            <w:tcW w:w="10647" w:type="dxa"/>
            <w:gridSpan w:val="3"/>
            <w:tcBorders>
              <w:top w:val="single" w:sz="4" w:space="0" w:color="auto"/>
              <w:left w:val="nil"/>
              <w:bottom w:val="nil"/>
              <w:right w:val="nil"/>
            </w:tcBorders>
            <w:shd w:val="clear" w:color="auto" w:fill="auto"/>
          </w:tcPr>
          <w:p w:rsidR="003804AE" w:rsidRPr="008F21BF" w:rsidRDefault="003804AE" w:rsidP="003804AE">
            <w:pPr>
              <w:rPr>
                <w:b/>
                <w:i/>
                <w:sz w:val="16"/>
                <w:szCs w:val="16"/>
                <w:lang w:val="ro-RO"/>
              </w:rPr>
            </w:pPr>
            <w:r w:rsidRPr="008F21BF">
              <w:rPr>
                <w:b/>
                <w:i/>
                <w:sz w:val="16"/>
                <w:szCs w:val="16"/>
                <w:lang w:val="ro-RO"/>
              </w:rPr>
              <w:t>Bd. C.D. Loga nr. 1, 300030   Timişoara,  tel: +40 256  408 300,  fax:+40 256 493 017 e-mail</w:t>
            </w:r>
            <w:r w:rsidRPr="008F21BF">
              <w:rPr>
                <w:b/>
                <w:i/>
                <w:color w:val="0000FF"/>
                <w:sz w:val="16"/>
                <w:szCs w:val="16"/>
                <w:lang w:val="ro-RO"/>
              </w:rPr>
              <w:t xml:space="preserve">: primariatm@primariatm.ro  </w:t>
            </w:r>
            <w:r w:rsidRPr="008F21BF">
              <w:rPr>
                <w:b/>
                <w:i/>
                <w:sz w:val="16"/>
                <w:szCs w:val="16"/>
                <w:lang w:val="ro-RO"/>
              </w:rPr>
              <w:t xml:space="preserve">internet: </w:t>
            </w:r>
            <w:hyperlink r:id="rId8" w:history="1">
              <w:r w:rsidRPr="008F21BF">
                <w:rPr>
                  <w:rStyle w:val="Hyperlink"/>
                  <w:b/>
                  <w:i/>
                  <w:sz w:val="16"/>
                  <w:szCs w:val="16"/>
                  <w:lang w:val="ro-RO"/>
                </w:rPr>
                <w:t>www.primariatm.ro</w:t>
              </w:r>
            </w:hyperlink>
          </w:p>
        </w:tc>
      </w:tr>
    </w:tbl>
    <w:p w:rsidR="002061B8" w:rsidRPr="008F21BF" w:rsidRDefault="002061B8" w:rsidP="002061B8">
      <w:pPr>
        <w:jc w:val="center"/>
        <w:rPr>
          <w:b/>
          <w:lang w:val="ro-RO"/>
        </w:rPr>
      </w:pPr>
    </w:p>
    <w:p w:rsidR="002061B8" w:rsidRPr="008F21BF" w:rsidRDefault="002061B8" w:rsidP="002061B8">
      <w:pPr>
        <w:jc w:val="center"/>
        <w:rPr>
          <w:b/>
          <w:lang w:val="ro-RO"/>
        </w:rPr>
      </w:pPr>
      <w:r w:rsidRPr="008F21BF">
        <w:rPr>
          <w:b/>
          <w:lang w:val="ro-RO"/>
        </w:rPr>
        <w:t>REFERAT</w:t>
      </w:r>
    </w:p>
    <w:p w:rsidR="00200E19" w:rsidRPr="00200E19" w:rsidRDefault="00200E19" w:rsidP="00200E19">
      <w:pPr>
        <w:autoSpaceDE w:val="0"/>
        <w:autoSpaceDN w:val="0"/>
        <w:adjustRightInd w:val="0"/>
        <w:jc w:val="center"/>
        <w:rPr>
          <w:b/>
          <w:bCs/>
          <w:color w:val="000000"/>
          <w:lang w:val="ro-RO" w:eastAsia="ko-KR"/>
        </w:rPr>
      </w:pPr>
      <w:r w:rsidRPr="00200E19">
        <w:rPr>
          <w:b/>
          <w:bCs/>
          <w:color w:val="000000"/>
          <w:lang w:val="ro-RO" w:eastAsia="ko-KR"/>
        </w:rPr>
        <w:t>privind aprobarea Studiului de oportunitate pentru construire locuinţe de serviciu şi servicii suport în regim S+P+10E+Er de către Regia Autonomă de Transport Timişoara</w:t>
      </w:r>
    </w:p>
    <w:p w:rsidR="002061B8" w:rsidRPr="008F21BF" w:rsidRDefault="002061B8" w:rsidP="002061B8">
      <w:pPr>
        <w:autoSpaceDE w:val="0"/>
        <w:autoSpaceDN w:val="0"/>
        <w:adjustRightInd w:val="0"/>
        <w:jc w:val="center"/>
        <w:rPr>
          <w:b/>
          <w:bCs/>
          <w:color w:val="000000"/>
          <w:lang w:val="ro-RO" w:eastAsia="ko-KR"/>
        </w:rPr>
      </w:pPr>
    </w:p>
    <w:p w:rsidR="0038506C" w:rsidRPr="008F21BF" w:rsidRDefault="002061B8" w:rsidP="002061B8">
      <w:pPr>
        <w:autoSpaceDE w:val="0"/>
        <w:autoSpaceDN w:val="0"/>
        <w:adjustRightInd w:val="0"/>
        <w:jc w:val="both"/>
        <w:rPr>
          <w:b/>
          <w:bCs/>
          <w:color w:val="000000"/>
          <w:lang w:val="ro-RO" w:eastAsia="ko-KR"/>
        </w:rPr>
      </w:pPr>
      <w:r w:rsidRPr="008F21BF">
        <w:rPr>
          <w:b/>
          <w:bCs/>
          <w:color w:val="000000"/>
          <w:lang w:val="ro-RO" w:eastAsia="ko-KR"/>
        </w:rPr>
        <w:tab/>
      </w:r>
    </w:p>
    <w:p w:rsidR="00200E19" w:rsidRPr="00200E19" w:rsidRDefault="00200E19" w:rsidP="000A146F">
      <w:pPr>
        <w:autoSpaceDE w:val="0"/>
        <w:autoSpaceDN w:val="0"/>
        <w:adjustRightInd w:val="0"/>
        <w:ind w:firstLine="720"/>
        <w:jc w:val="both"/>
        <w:rPr>
          <w:bCs/>
          <w:iCs/>
          <w:color w:val="000000"/>
          <w:lang w:val="ro-RO" w:eastAsia="ko-KR"/>
        </w:rPr>
      </w:pPr>
      <w:r w:rsidRPr="00200E19">
        <w:rPr>
          <w:bCs/>
          <w:iCs/>
          <w:color w:val="000000"/>
          <w:lang w:val="ro-RO" w:eastAsia="ko-KR"/>
        </w:rPr>
        <w:t xml:space="preserve">Regia Autonomă de Transport Timişoara, prin adresa nr. 6078/22.03.2017, înregistrată la Primăria Municipiului Timişoara cu nr. RE2017-000577/28.03.2017, solicită promovarea unui proiect de hotărâre   prin care să se aprobe Studiul de oportunitate privind realizarea de locuinţe de serviciu în Timişoara, str. Stan Vidrighin, nr. 2, pentru </w:t>
      </w:r>
      <w:r w:rsidR="00F704B5">
        <w:rPr>
          <w:bCs/>
          <w:iCs/>
          <w:color w:val="000000"/>
          <w:lang w:val="ro-RO" w:eastAsia="ko-KR"/>
        </w:rPr>
        <w:t xml:space="preserve">fidelizarea </w:t>
      </w:r>
      <w:r w:rsidRPr="00200E19">
        <w:rPr>
          <w:bCs/>
          <w:iCs/>
          <w:color w:val="000000"/>
          <w:lang w:val="ro-RO" w:eastAsia="ko-KR"/>
        </w:rPr>
        <w:t>personalul</w:t>
      </w:r>
      <w:r w:rsidR="00F704B5">
        <w:rPr>
          <w:bCs/>
          <w:iCs/>
          <w:color w:val="000000"/>
          <w:lang w:val="ro-RO" w:eastAsia="ko-KR"/>
        </w:rPr>
        <w:t>ui</w:t>
      </w:r>
      <w:r w:rsidR="00755C9D">
        <w:rPr>
          <w:bCs/>
          <w:iCs/>
          <w:color w:val="000000"/>
          <w:lang w:val="ro-RO" w:eastAsia="ko-KR"/>
        </w:rPr>
        <w:t xml:space="preserve"> de bord, studiu aprobat şi prin Hotărârea Consiliului de Administraţie nr. 50/28.02.2017.</w:t>
      </w:r>
    </w:p>
    <w:p w:rsidR="00200E19" w:rsidRDefault="00200E19" w:rsidP="00200E19">
      <w:pPr>
        <w:autoSpaceDE w:val="0"/>
        <w:autoSpaceDN w:val="0"/>
        <w:adjustRightInd w:val="0"/>
        <w:ind w:firstLine="720"/>
        <w:jc w:val="both"/>
        <w:rPr>
          <w:lang w:val="ro-RO"/>
        </w:rPr>
      </w:pPr>
      <w:r w:rsidRPr="00200E19">
        <w:rPr>
          <w:lang w:val="ro-RO"/>
        </w:rPr>
        <w:t>Prin HCLMT nr. 108/27.03.2012</w:t>
      </w:r>
      <w:r>
        <w:rPr>
          <w:lang w:val="ro-RO"/>
        </w:rPr>
        <w:t>,</w:t>
      </w:r>
      <w:r w:rsidRPr="00200E19">
        <w:rPr>
          <w:lang w:val="ro-RO"/>
        </w:rPr>
        <w:t xml:space="preserve"> Regiei Autonomă de Transport Timişoara i s-a dat în administrare s</w:t>
      </w:r>
      <w:r w:rsidRPr="00200E19">
        <w:rPr>
          <w:color w:val="000000"/>
          <w:lang w:val="ro-RO" w:eastAsia="en-US"/>
        </w:rPr>
        <w:t>erviciul de transport public local de persoane prin curse regulate pe raza administrativ–teritorială a Municipiului Timişoara</w:t>
      </w:r>
      <w:r w:rsidRPr="00200E19">
        <w:rPr>
          <w:lang w:val="ro-RO"/>
        </w:rPr>
        <w:t xml:space="preserve"> întrucât fost înfiinţată în baza Legii nr. 15/1990 privind reorganizarea unităţilor economice ca regii autonome si prin Decizia Primăriei nr. 99/29.01.1991, înregistrata </w:t>
      </w:r>
      <w:smartTag w:uri="urn:schemas-microsoft-com:office:smarttags" w:element="PersonName">
        <w:smartTagPr>
          <w:attr w:name="ProductID" w:val="la Camera"/>
        </w:smartTagPr>
        <w:r w:rsidRPr="00200E19">
          <w:rPr>
            <w:lang w:val="ro-RO"/>
          </w:rPr>
          <w:t>la Camera</w:t>
        </w:r>
      </w:smartTag>
      <w:r w:rsidRPr="00200E19">
        <w:rPr>
          <w:lang w:val="ro-RO"/>
        </w:rPr>
        <w:t xml:space="preserve"> de Comerţ sub Nr. J/35/3034/1991, are ca obiect principal de activitate conform cod CAEN 4931-Transporturi urbane, suburbane si metropolitane de calatori cat si alte obiecte secundare de activităţi de prestări de servicii către populaţie sau agenţi economic,  prestează servicii de utilităţi publice prin exploatarea şi administrarea infrastructurii tehnico-edilitare aferente acestora, etc.</w:t>
      </w:r>
    </w:p>
    <w:p w:rsidR="00AB71AB" w:rsidRPr="00AB71AB" w:rsidRDefault="00AB71AB" w:rsidP="00200E19">
      <w:pPr>
        <w:autoSpaceDE w:val="0"/>
        <w:autoSpaceDN w:val="0"/>
        <w:adjustRightInd w:val="0"/>
        <w:ind w:firstLine="720"/>
        <w:jc w:val="both"/>
        <w:rPr>
          <w:lang w:val="ro-RO"/>
        </w:rPr>
      </w:pPr>
      <w:r w:rsidRPr="00AB71AB">
        <w:rPr>
          <w:lang w:val="ro-RO"/>
        </w:rPr>
        <w:t>Consiliul Local al Municipiului Timişoara, prin Anexa 3 din Hotărârea nr. 223/200</w:t>
      </w:r>
      <w:r w:rsidR="000E1C3C">
        <w:rPr>
          <w:lang w:val="ro-RO"/>
        </w:rPr>
        <w:t>6</w:t>
      </w:r>
      <w:r w:rsidRPr="00AB71AB">
        <w:rPr>
          <w:lang w:val="ro-RO"/>
        </w:rPr>
        <w:t>, a aprobat transmiterea în administrarea Regiei Autonome de Transport Timişoara a unor bunuri imobile care fac parte din Domeniul Public al municipiului Timişoara</w:t>
      </w:r>
      <w:r>
        <w:rPr>
          <w:lang w:val="ro-RO"/>
        </w:rPr>
        <w:t xml:space="preserve"> printre care şi terenul pe care se intenţionează realizare locuinţelor</w:t>
      </w:r>
      <w:r w:rsidR="000E1C3C">
        <w:rPr>
          <w:lang w:val="ro-RO"/>
        </w:rPr>
        <w:t xml:space="preserve"> de serviciu, respectiv str. 1 D</w:t>
      </w:r>
      <w:r>
        <w:rPr>
          <w:lang w:val="ro-RO"/>
        </w:rPr>
        <w:t>ecembrie, nr. 58 (actualmente str. Stan Vidrighin nr. 2).</w:t>
      </w:r>
    </w:p>
    <w:p w:rsidR="00200E19" w:rsidRPr="00200E19" w:rsidRDefault="00200E19" w:rsidP="00200E19">
      <w:pPr>
        <w:autoSpaceDE w:val="0"/>
        <w:autoSpaceDN w:val="0"/>
        <w:adjustRightInd w:val="0"/>
        <w:ind w:firstLine="720"/>
        <w:jc w:val="both"/>
        <w:rPr>
          <w:color w:val="000000"/>
          <w:lang w:val="ro-RO" w:eastAsia="ko-KR"/>
        </w:rPr>
      </w:pPr>
      <w:r w:rsidRPr="00200E19">
        <w:rPr>
          <w:color w:val="000000"/>
          <w:lang w:val="ro-RO" w:eastAsia="ko-KR"/>
        </w:rPr>
        <w:t xml:space="preserve">RATT desfăsoară un serviciu de utilitate publică, care face parte din sfera serviciilor comunitare de utilitate publică de interes economic şi social general desfaşurate la nivelul unităţii administrativ teritoriale sub </w:t>
      </w:r>
      <w:r w:rsidR="00F704B5">
        <w:rPr>
          <w:color w:val="000000"/>
          <w:lang w:val="ro-RO" w:eastAsia="ko-KR"/>
        </w:rPr>
        <w:t>autoritatea</w:t>
      </w:r>
      <w:r w:rsidRPr="00200E19">
        <w:rPr>
          <w:color w:val="000000"/>
          <w:lang w:val="ro-RO" w:eastAsia="ko-KR"/>
        </w:rPr>
        <w:t xml:space="preserve"> administraţiei publice locale.</w:t>
      </w:r>
    </w:p>
    <w:p w:rsidR="00200E19" w:rsidRPr="00200E19" w:rsidRDefault="00200E19" w:rsidP="00200E19">
      <w:pPr>
        <w:autoSpaceDE w:val="0"/>
        <w:autoSpaceDN w:val="0"/>
        <w:adjustRightInd w:val="0"/>
        <w:ind w:firstLine="708"/>
        <w:jc w:val="both"/>
        <w:rPr>
          <w:color w:val="000000"/>
          <w:lang w:val="ro-RO" w:eastAsia="ko-KR"/>
        </w:rPr>
      </w:pPr>
      <w:r w:rsidRPr="00200E19">
        <w:rPr>
          <w:color w:val="000000"/>
          <w:lang w:val="ro-RO" w:eastAsia="ko-KR"/>
        </w:rPr>
        <w:t>Administraţia publică locală şi RATT,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200E19" w:rsidRPr="00200E19" w:rsidRDefault="00200E19" w:rsidP="00200E19">
      <w:pPr>
        <w:autoSpaceDE w:val="0"/>
        <w:autoSpaceDN w:val="0"/>
        <w:adjustRightInd w:val="0"/>
        <w:ind w:firstLine="720"/>
        <w:jc w:val="both"/>
        <w:rPr>
          <w:lang w:val="ro-RO" w:eastAsia="en-US"/>
        </w:rPr>
      </w:pPr>
      <w:r w:rsidRPr="00200E19">
        <w:rPr>
          <w:lang w:val="ro-RO" w:eastAsia="en-US"/>
        </w:rPr>
        <w:t>Serviciile de transport public local fac parte din sfera serviciilor comunitare de utilitate publică şi cuprind totalitatea acţiunilor şi activităţilor de utilitate publică şi de interes economic şi social general desfăşurate la nivelul unităţilor administrativ-teritoriale, sub controlul, conducerea sau coordonarea autorităţilor administraţiei publice locale, în scopul asigurării transportului public local (art. 3 alin. 1 din Legea nr. 92/2007).</w:t>
      </w:r>
    </w:p>
    <w:p w:rsidR="00C67DEB" w:rsidRPr="00200E19" w:rsidRDefault="00C67DEB" w:rsidP="00C67DEB">
      <w:pPr>
        <w:autoSpaceDE w:val="0"/>
        <w:autoSpaceDN w:val="0"/>
        <w:adjustRightInd w:val="0"/>
        <w:ind w:firstLine="720"/>
        <w:jc w:val="both"/>
        <w:rPr>
          <w:color w:val="000000"/>
          <w:lang w:val="ro-RO" w:eastAsia="ko-KR"/>
        </w:rPr>
      </w:pPr>
      <w:r w:rsidRPr="00200E19">
        <w:rPr>
          <w:color w:val="000000"/>
          <w:lang w:val="ro-RO" w:eastAsia="ko-KR"/>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rsidR="00C67DEB" w:rsidRDefault="00C67DEB" w:rsidP="00C67DEB">
      <w:pPr>
        <w:autoSpaceDE w:val="0"/>
        <w:autoSpaceDN w:val="0"/>
        <w:adjustRightInd w:val="0"/>
        <w:jc w:val="both"/>
        <w:rPr>
          <w:color w:val="000000"/>
          <w:lang w:val="ro-RO" w:eastAsia="ko-KR"/>
        </w:rPr>
      </w:pPr>
      <w:r w:rsidRPr="00200E19">
        <w:rPr>
          <w:color w:val="000000"/>
          <w:lang w:val="ro-RO" w:eastAsia="ko-KR"/>
        </w:rPr>
        <w:tab/>
        <w:t>Consiliile locale pot hotărî asupra participării cu capital sau cu bunuri, în numele şi în interesul colectivităţilor locale pe care le reprezintă, la înfiinţarea, funcţionarea şi dezvoltarea unor organisme prestatoare de servicii publice şi de utilitate publică de interes local sau judeţean, în condiţiile legii (art. 17 din Legea nr. 215/2001 privind administraţia publică locală).</w:t>
      </w:r>
    </w:p>
    <w:p w:rsidR="00200E19" w:rsidRDefault="00200E19" w:rsidP="00200E19">
      <w:pPr>
        <w:autoSpaceDE w:val="0"/>
        <w:autoSpaceDN w:val="0"/>
        <w:adjustRightInd w:val="0"/>
        <w:ind w:firstLine="720"/>
        <w:jc w:val="both"/>
        <w:rPr>
          <w:lang w:val="ro-RO" w:eastAsia="en-US"/>
        </w:rPr>
      </w:pPr>
      <w:r w:rsidRPr="00200E19">
        <w:rPr>
          <w:color w:val="000000"/>
          <w:lang w:val="ro-RO"/>
        </w:rPr>
        <w:lastRenderedPageBreak/>
        <w:t xml:space="preserve">Potrivit art. 43 alin. (8) din Legea nr. 51/2006 privind </w:t>
      </w:r>
      <w:r w:rsidRPr="00200E19">
        <w:rPr>
          <w:lang w:val="ro-RO" w:eastAsia="en-US"/>
        </w:rPr>
        <w:t xml:space="preserve">serviciile comunitare de utilităţi publice, pentru prestarea unor servicii conexe serviciilor de utilităţi publice, cum sunt eliberarea acordurilor şi avizelor, verificarea documentaţiilor tehnico-economice, expertizele tehnice, service-ul instalaţiilor de utilizare şi altele asemenea, tarifele şi taxele se fundamentează pe tipuri de lucrări sau servicii prestate de operatori şi se aprobă prin hotărâri ale autorităţilor deliberative ale unităţilor administrativ-teritoriale. </w:t>
      </w:r>
    </w:p>
    <w:p w:rsidR="00BC1B83" w:rsidRPr="00E47A92" w:rsidRDefault="00BC1B83" w:rsidP="00E47A92">
      <w:pPr>
        <w:autoSpaceDE w:val="0"/>
        <w:autoSpaceDN w:val="0"/>
        <w:adjustRightInd w:val="0"/>
        <w:ind w:firstLine="720"/>
        <w:jc w:val="both"/>
        <w:rPr>
          <w:lang w:val="ro-RO" w:eastAsia="en-US"/>
        </w:rPr>
      </w:pPr>
      <w:r w:rsidRPr="00E47A92">
        <w:rPr>
          <w:lang w:val="ro-RO" w:eastAsia="en-US"/>
        </w:rPr>
        <w:t>Legea nr. 114/1996 a locuinţei precizează la art. 2 lit. d) că locuinţa de serviciu este locuinţa destinată funcţionarilor publici, angajaţilor unor instituţii sau agenţi economici, acordata în condiţiile contractului de muncă, potrivit prevederilor legale.</w:t>
      </w:r>
    </w:p>
    <w:p w:rsidR="0018503A" w:rsidRPr="00E47A92" w:rsidRDefault="0018503A" w:rsidP="00E47A92">
      <w:pPr>
        <w:autoSpaceDE w:val="0"/>
        <w:autoSpaceDN w:val="0"/>
        <w:adjustRightInd w:val="0"/>
        <w:ind w:firstLine="720"/>
        <w:jc w:val="both"/>
        <w:rPr>
          <w:lang w:val="ro-RO" w:eastAsia="en-US"/>
        </w:rPr>
      </w:pPr>
      <w:r w:rsidRPr="00E47A92">
        <w:rPr>
          <w:vanish/>
          <w:lang w:val="ro-RO" w:eastAsia="en-US"/>
        </w:rPr>
        <w:t>&lt;LLNK810002003385000001&gt;</w:t>
      </w:r>
      <w:r w:rsidRPr="00E47A92">
        <w:rPr>
          <w:lang w:val="ro-RO" w:eastAsia="en-US"/>
        </w:rPr>
        <w:t xml:space="preserve">    Locuinţele care se realizează prin investiţii din profit de către persoane juridice române, se pot amplasa pe terenurile aparţinând persoanelor fizice beneficiare de locuinţe, ale persoanelor juridice investitoare sau pe terenuri concesionate în acest scop de consiliile locale persoanelor juridice sau fizice, cu o reducere de pân</w:t>
      </w:r>
      <w:r w:rsidR="00E47A92" w:rsidRPr="00E47A92">
        <w:rPr>
          <w:lang w:val="ro-RO" w:eastAsia="en-US"/>
        </w:rPr>
        <w:t>ă la 95% din taxa de concesiune (art. 5 din Legea nr. 114/1996 privind locuinţele).</w:t>
      </w:r>
    </w:p>
    <w:p w:rsidR="0018503A" w:rsidRPr="00E47A92" w:rsidRDefault="0018503A" w:rsidP="00E47A92">
      <w:pPr>
        <w:autoSpaceDE w:val="0"/>
        <w:autoSpaceDN w:val="0"/>
        <w:adjustRightInd w:val="0"/>
        <w:ind w:firstLine="720"/>
        <w:jc w:val="both"/>
        <w:rPr>
          <w:rFonts w:eastAsiaTheme="minorHAnsi"/>
          <w:lang w:val="ro-RO" w:eastAsia="en-US"/>
        </w:rPr>
      </w:pPr>
      <w:r w:rsidRPr="00E47A92">
        <w:rPr>
          <w:rFonts w:eastAsiaTheme="minorHAnsi"/>
          <w:lang w:val="ro-RO" w:eastAsia="en-US"/>
        </w:rPr>
        <w:t>Construcţiile de locuinţe se pot amplasa, după caz, pe terenuri aparţinând persoanelor fizice, persoanelor juridice, pe terenuri aparţinând domeniului public sau privat al statului şi/sau al unităţilor administrativ-teritoriale, identificate printr-un singur număr cadastral şi număr de carte funciară, în condiţiile legii</w:t>
      </w:r>
      <w:r w:rsidR="00E47A92" w:rsidRPr="00E47A92">
        <w:rPr>
          <w:rFonts w:eastAsiaTheme="minorHAnsi"/>
          <w:lang w:val="ro-RO" w:eastAsia="en-US"/>
        </w:rPr>
        <w:t xml:space="preserve"> </w:t>
      </w:r>
      <w:r w:rsidR="00E47A92" w:rsidRPr="00E47A92">
        <w:rPr>
          <w:lang w:val="ro-RO" w:eastAsia="en-US"/>
        </w:rPr>
        <w:t>(art. 5 din Legea nr. 114/1996 privind locuinţele).</w:t>
      </w:r>
    </w:p>
    <w:p w:rsidR="0018503A" w:rsidRPr="00E47A92" w:rsidRDefault="0018503A" w:rsidP="00E47A92">
      <w:pPr>
        <w:autoSpaceDE w:val="0"/>
        <w:autoSpaceDN w:val="0"/>
        <w:adjustRightInd w:val="0"/>
        <w:ind w:firstLine="720"/>
        <w:jc w:val="both"/>
        <w:rPr>
          <w:rFonts w:eastAsiaTheme="minorHAnsi"/>
          <w:lang w:val="ro-RO" w:eastAsia="en-US"/>
        </w:rPr>
      </w:pPr>
      <w:r w:rsidRPr="00E47A92">
        <w:rPr>
          <w:rFonts w:eastAsiaTheme="minorHAnsi"/>
          <w:lang w:val="ro-RO" w:eastAsia="en-US"/>
        </w:rPr>
        <w:t>Beneficiarul/investitorul trebuie să deţină şi să probeze un drept real asupra terenului destinat amplasării construcţiilor de locuinţe, cu actele de proprietate şi extrasul de carte funciară pentru informare</w:t>
      </w:r>
      <w:r w:rsidR="00E47A92" w:rsidRPr="00E47A92">
        <w:rPr>
          <w:rFonts w:eastAsiaTheme="minorHAnsi"/>
          <w:lang w:val="ro-RO" w:eastAsia="en-US"/>
        </w:rPr>
        <w:t xml:space="preserve"> </w:t>
      </w:r>
      <w:r w:rsidR="00E47A92" w:rsidRPr="00E47A92">
        <w:rPr>
          <w:lang w:val="ro-RO" w:eastAsia="en-US"/>
        </w:rPr>
        <w:t>(art. 5 din Legea nr. 114/1996 privind locuinţele).</w:t>
      </w:r>
      <w:r w:rsidRPr="00E47A92">
        <w:rPr>
          <w:rFonts w:eastAsiaTheme="minorHAnsi"/>
          <w:lang w:val="ro-RO" w:eastAsia="en-US"/>
        </w:rPr>
        <w:t>.</w:t>
      </w:r>
    </w:p>
    <w:p w:rsidR="00215F0F" w:rsidRPr="00184375" w:rsidRDefault="00E47A92" w:rsidP="00E47A92">
      <w:pPr>
        <w:autoSpaceDE w:val="0"/>
        <w:autoSpaceDN w:val="0"/>
        <w:adjustRightInd w:val="0"/>
        <w:jc w:val="both"/>
        <w:rPr>
          <w:rFonts w:eastAsiaTheme="minorHAnsi"/>
          <w:b/>
          <w:lang w:val="ro-RO" w:eastAsia="en-US"/>
        </w:rPr>
      </w:pPr>
      <w:r w:rsidRPr="00E47A92">
        <w:rPr>
          <w:rFonts w:eastAsiaTheme="minorHAnsi"/>
          <w:lang w:val="ro-RO" w:eastAsia="en-US"/>
        </w:rPr>
        <w:t xml:space="preserve"> </w:t>
      </w:r>
      <w:r>
        <w:rPr>
          <w:rFonts w:eastAsiaTheme="minorHAnsi"/>
          <w:lang w:val="ro-RO" w:eastAsia="en-US"/>
        </w:rPr>
        <w:tab/>
      </w:r>
      <w:r w:rsidRPr="00184375">
        <w:rPr>
          <w:rFonts w:eastAsiaTheme="minorHAnsi"/>
          <w:b/>
          <w:lang w:val="ro-RO" w:eastAsia="en-US"/>
        </w:rPr>
        <w:t xml:space="preserve">Potrivit </w:t>
      </w:r>
      <w:r w:rsidRPr="00184375">
        <w:rPr>
          <w:b/>
          <w:lang w:val="ro-RO" w:eastAsia="en-US"/>
        </w:rPr>
        <w:t>art. 52 din Legea nr. 114/1996 privind locuinţele, l</w:t>
      </w:r>
      <w:r w:rsidR="00215F0F" w:rsidRPr="00184375">
        <w:rPr>
          <w:rFonts w:eastAsiaTheme="minorHAnsi"/>
          <w:b/>
          <w:lang w:val="ro-RO" w:eastAsia="en-US"/>
        </w:rPr>
        <w:t>ocuinţele noi se finanţează, în condiţiile legii, din:</w:t>
      </w:r>
    </w:p>
    <w:p w:rsidR="00215F0F" w:rsidRPr="00E47A92" w:rsidRDefault="00215F0F" w:rsidP="00E47A92">
      <w:pPr>
        <w:autoSpaceDE w:val="0"/>
        <w:autoSpaceDN w:val="0"/>
        <w:adjustRightInd w:val="0"/>
        <w:jc w:val="both"/>
        <w:rPr>
          <w:rFonts w:eastAsiaTheme="minorHAnsi"/>
          <w:lang w:val="ro-RO" w:eastAsia="en-US"/>
        </w:rPr>
      </w:pPr>
      <w:r w:rsidRPr="00E47A92">
        <w:rPr>
          <w:rFonts w:eastAsiaTheme="minorHAnsi"/>
          <w:lang w:val="ro-RO" w:eastAsia="en-US"/>
        </w:rPr>
        <w:t xml:space="preserve">    a) bugetul de stat şi bugetele locale, în limitele prevederilor bugetare aprobate anual cu această destinaţie;</w:t>
      </w:r>
    </w:p>
    <w:p w:rsidR="00215F0F" w:rsidRPr="00184375" w:rsidRDefault="00215F0F" w:rsidP="00E47A92">
      <w:pPr>
        <w:autoSpaceDE w:val="0"/>
        <w:autoSpaceDN w:val="0"/>
        <w:adjustRightInd w:val="0"/>
        <w:jc w:val="both"/>
        <w:rPr>
          <w:rFonts w:eastAsiaTheme="minorHAnsi"/>
          <w:b/>
          <w:lang w:val="ro-RO" w:eastAsia="en-US"/>
        </w:rPr>
      </w:pPr>
      <w:r w:rsidRPr="00E47A92">
        <w:rPr>
          <w:rFonts w:eastAsiaTheme="minorHAnsi"/>
          <w:lang w:val="ro-RO" w:eastAsia="en-US"/>
        </w:rPr>
        <w:t xml:space="preserve">    b) </w:t>
      </w:r>
      <w:r w:rsidRPr="00184375">
        <w:rPr>
          <w:rFonts w:eastAsiaTheme="minorHAnsi"/>
          <w:b/>
          <w:lang w:val="ro-RO" w:eastAsia="en-US"/>
        </w:rPr>
        <w:t>bugetele agenţilor economici, pentru salariaţii acestora.</w:t>
      </w:r>
    </w:p>
    <w:p w:rsidR="00C67DEB" w:rsidRDefault="00C67DEB" w:rsidP="00C67DEB">
      <w:pPr>
        <w:autoSpaceDE w:val="0"/>
        <w:autoSpaceDN w:val="0"/>
        <w:adjustRightInd w:val="0"/>
        <w:jc w:val="both"/>
        <w:rPr>
          <w:lang w:val="ro-RO"/>
        </w:rPr>
      </w:pPr>
      <w:r w:rsidRPr="00200E19">
        <w:rPr>
          <w:color w:val="000000"/>
          <w:lang w:val="ro-RO" w:eastAsia="ko-KR"/>
        </w:rPr>
        <w:tab/>
      </w:r>
      <w:r w:rsidR="001526C7" w:rsidRPr="00200E19">
        <w:rPr>
          <w:color w:val="000000"/>
          <w:lang w:val="ro-RO" w:eastAsia="ko-KR"/>
        </w:rPr>
        <w:t>În conformitate cu prevederile art. 2</w:t>
      </w:r>
      <w:r w:rsidR="00D25899" w:rsidRPr="00200E19">
        <w:rPr>
          <w:color w:val="000000"/>
          <w:lang w:val="ro-RO" w:eastAsia="ko-KR"/>
        </w:rPr>
        <w:t>5</w:t>
      </w:r>
      <w:r w:rsidR="001526C7" w:rsidRPr="00200E19">
        <w:rPr>
          <w:color w:val="000000"/>
          <w:lang w:val="ro-RO" w:eastAsia="ko-KR"/>
        </w:rPr>
        <w:t xml:space="preserve"> alin. (3) </w:t>
      </w:r>
      <w:r w:rsidR="001526C7" w:rsidRPr="00200E19">
        <w:rPr>
          <w:lang w:val="ro-RO"/>
        </w:rPr>
        <w:t>din Legea nr.  51/2006 privind serviciile comunitare de utilităţi publice, bunurile proprietate publică a unităţilor administrativ-teritoriale utilizate pentru furnizarea/prestarea serviciilor de utilităţi publice pot fi date în administrare sau pot fi concesionate operatorilor în conformitate cu prevederile legale</w:t>
      </w:r>
      <w:r w:rsidR="00BC1B83">
        <w:rPr>
          <w:lang w:val="ro-RO"/>
        </w:rPr>
        <w:t>.</w:t>
      </w:r>
      <w:r w:rsidR="00E47A92">
        <w:rPr>
          <w:lang w:val="ro-RO"/>
        </w:rPr>
        <w:t xml:space="preserve"> </w:t>
      </w:r>
    </w:p>
    <w:p w:rsidR="00E47A92" w:rsidRPr="00E47A92" w:rsidRDefault="00E47A92" w:rsidP="00E47A92">
      <w:pPr>
        <w:autoSpaceDE w:val="0"/>
        <w:autoSpaceDN w:val="0"/>
        <w:adjustRightInd w:val="0"/>
        <w:ind w:firstLine="720"/>
        <w:jc w:val="both"/>
        <w:rPr>
          <w:color w:val="000000"/>
          <w:lang w:val="ro-RO" w:eastAsia="ko-KR"/>
        </w:rPr>
      </w:pPr>
      <w:r>
        <w:rPr>
          <w:color w:val="000000"/>
          <w:lang w:val="ro-RO" w:eastAsia="ko-KR"/>
        </w:rPr>
        <w:t>Studiul</w:t>
      </w:r>
      <w:r w:rsidRPr="00E47A92">
        <w:rPr>
          <w:color w:val="000000"/>
          <w:lang w:val="ro-RO" w:eastAsia="ko-KR"/>
        </w:rPr>
        <w:t xml:space="preserve"> de Oportunitate, este reali</w:t>
      </w:r>
      <w:r>
        <w:rPr>
          <w:color w:val="000000"/>
          <w:lang w:val="ro-RO" w:eastAsia="ko-KR"/>
        </w:rPr>
        <w:t>z</w:t>
      </w:r>
      <w:r w:rsidRPr="00E47A92">
        <w:rPr>
          <w:color w:val="000000"/>
          <w:lang w:val="ro-RO" w:eastAsia="ko-KR"/>
        </w:rPr>
        <w:t>at pe terenul in suprafata totala de 14.983,00, care s-a identificat prin Nr.Cad.435064 inscris in CF nr.250807, Calea Stan Vidrighin Nr 2, Ti</w:t>
      </w:r>
      <w:r>
        <w:rPr>
          <w:color w:val="000000"/>
          <w:lang w:val="ro-RO" w:eastAsia="ko-KR"/>
        </w:rPr>
        <w:t xml:space="preserve">misoara, in proprietatea  Municipiului Timisoara, </w:t>
      </w:r>
      <w:r w:rsidR="00AB71AB">
        <w:rPr>
          <w:color w:val="000000"/>
          <w:lang w:val="ro-RO" w:eastAsia="ko-KR"/>
        </w:rPr>
        <w:t xml:space="preserve">fiind </w:t>
      </w:r>
      <w:r>
        <w:rPr>
          <w:color w:val="000000"/>
          <w:lang w:val="ro-RO" w:eastAsia="ko-KR"/>
        </w:rPr>
        <w:t>domeniul p</w:t>
      </w:r>
      <w:r w:rsidRPr="00E47A92">
        <w:rPr>
          <w:color w:val="000000"/>
          <w:lang w:val="ro-RO" w:eastAsia="ko-KR"/>
        </w:rPr>
        <w:t>ublic,  categoria intravilan  curti constructii</w:t>
      </w:r>
      <w:r>
        <w:rPr>
          <w:color w:val="000000"/>
          <w:lang w:val="ro-RO" w:eastAsia="ko-KR"/>
        </w:rPr>
        <w:t>,</w:t>
      </w:r>
      <w:r w:rsidRPr="00E47A92">
        <w:rPr>
          <w:color w:val="000000"/>
          <w:lang w:val="ro-RO" w:eastAsia="ko-KR"/>
        </w:rPr>
        <w:t xml:space="preserve"> iar  Re</w:t>
      </w:r>
      <w:r>
        <w:rPr>
          <w:color w:val="000000"/>
          <w:lang w:val="ro-RO" w:eastAsia="ko-KR"/>
        </w:rPr>
        <w:t>g</w:t>
      </w:r>
      <w:r w:rsidRPr="00E47A92">
        <w:rPr>
          <w:color w:val="000000"/>
          <w:lang w:val="ro-RO" w:eastAsia="ko-KR"/>
        </w:rPr>
        <w:t>ia Auton</w:t>
      </w:r>
      <w:r>
        <w:rPr>
          <w:color w:val="000000"/>
          <w:lang w:val="ro-RO" w:eastAsia="ko-KR"/>
        </w:rPr>
        <w:t>oma de Transport Timisoara are</w:t>
      </w:r>
      <w:r w:rsidRPr="00E47A92">
        <w:rPr>
          <w:color w:val="000000"/>
          <w:lang w:val="ro-RO" w:eastAsia="ko-KR"/>
        </w:rPr>
        <w:t xml:space="preserve"> un drept real de administrare inscris in CF prin incheierea Nr 80075/10.07.2009.</w:t>
      </w:r>
    </w:p>
    <w:p w:rsidR="00087622" w:rsidRPr="00087622" w:rsidRDefault="00087622" w:rsidP="00087622">
      <w:pPr>
        <w:autoSpaceDE w:val="0"/>
        <w:autoSpaceDN w:val="0"/>
        <w:adjustRightInd w:val="0"/>
        <w:ind w:firstLine="720"/>
        <w:jc w:val="both"/>
        <w:rPr>
          <w:color w:val="000000"/>
          <w:lang w:val="ro-RO" w:eastAsia="ko-KR"/>
        </w:rPr>
      </w:pPr>
      <w:r w:rsidRPr="00087622">
        <w:rPr>
          <w:color w:val="000000"/>
          <w:lang w:val="ro-RO" w:eastAsia="ko-KR"/>
        </w:rPr>
        <w:t>Strategia de dezvoltare economico</w:t>
      </w:r>
      <w:r>
        <w:rPr>
          <w:color w:val="000000"/>
          <w:lang w:val="ro-RO" w:eastAsia="ko-KR"/>
        </w:rPr>
        <w:t xml:space="preserve"> </w:t>
      </w:r>
      <w:r w:rsidRPr="00087622">
        <w:rPr>
          <w:color w:val="000000"/>
          <w:lang w:val="ro-RO" w:eastAsia="ko-KR"/>
        </w:rPr>
        <w:t>-</w:t>
      </w:r>
      <w:r>
        <w:rPr>
          <w:color w:val="000000"/>
          <w:lang w:val="ro-RO" w:eastAsia="ko-KR"/>
        </w:rPr>
        <w:t xml:space="preserve"> </w:t>
      </w:r>
      <w:r w:rsidRPr="00087622">
        <w:rPr>
          <w:color w:val="000000"/>
          <w:lang w:val="ro-RO" w:eastAsia="ko-KR"/>
        </w:rPr>
        <w:t xml:space="preserve">socială locală, prin consolidarea resurselor existente, </w:t>
      </w:r>
      <w:r>
        <w:rPr>
          <w:color w:val="000000"/>
          <w:lang w:val="ro-RO" w:eastAsia="ko-KR"/>
        </w:rPr>
        <w:t>furnizează localității Timişoara</w:t>
      </w:r>
      <w:r w:rsidRPr="00087622">
        <w:rPr>
          <w:color w:val="000000"/>
          <w:lang w:val="ro-RO" w:eastAsia="ko-KR"/>
        </w:rPr>
        <w:t xml:space="preserve"> stabilitate și extindere economică solidă. Dezvoltarea investițiilor locale presupune crearea unui climat atrăgător și pentru investitorii externi, ceea ce va avea un impact pozitiv asupra comunității prin creșterea ofertei de noi locuri de muncă direct create, creșterea salariilor, a vânzărilor și nu în ultimul rând ridicarea standardului de calitate a zonelor rezidențiale adiacente în care se propune această investiție. In acest conte</w:t>
      </w:r>
      <w:r w:rsidR="006D52A1">
        <w:rPr>
          <w:color w:val="000000"/>
          <w:lang w:val="ro-RO" w:eastAsia="ko-KR"/>
        </w:rPr>
        <w:t>x</w:t>
      </w:r>
      <w:r w:rsidRPr="00087622">
        <w:rPr>
          <w:color w:val="000000"/>
          <w:lang w:val="ro-RO" w:eastAsia="ko-KR"/>
        </w:rPr>
        <w:t>t, dar si in contextul lipsei de locuinte, propunerea de a dezvotla si construi locuine de serviciu,  pentru personalul propiu, este o prioritate de maxima importanta si urgenta, in urma constatarii unei migratii masive de personal, atat in strainatate cat si la companiile private competitoare. Construirea de locuinte de serviciu, vor face atractive locurile de munca oferite de catre RATT,  pe perioade indelu</w:t>
      </w:r>
      <w:r>
        <w:rPr>
          <w:color w:val="000000"/>
          <w:lang w:val="ro-RO" w:eastAsia="ko-KR"/>
        </w:rPr>
        <w:t>ngate pentru personalul prop</w:t>
      </w:r>
      <w:r w:rsidR="006D52A1">
        <w:rPr>
          <w:color w:val="000000"/>
          <w:lang w:val="ro-RO" w:eastAsia="ko-KR"/>
        </w:rPr>
        <w:t>r</w:t>
      </w:r>
      <w:r>
        <w:rPr>
          <w:color w:val="000000"/>
          <w:lang w:val="ro-RO" w:eastAsia="ko-KR"/>
        </w:rPr>
        <w:t>iu</w:t>
      </w:r>
      <w:r w:rsidRPr="00087622">
        <w:rPr>
          <w:color w:val="000000"/>
          <w:lang w:val="ro-RO" w:eastAsia="ko-KR"/>
        </w:rPr>
        <w:t xml:space="preserve">, dar va fi un instrument de atragere de forta de munca calificata  din alte parti. </w:t>
      </w:r>
    </w:p>
    <w:p w:rsidR="00087622" w:rsidRDefault="006D52A1" w:rsidP="00087622">
      <w:pPr>
        <w:autoSpaceDE w:val="0"/>
        <w:autoSpaceDN w:val="0"/>
        <w:adjustRightInd w:val="0"/>
        <w:ind w:firstLine="720"/>
        <w:jc w:val="both"/>
        <w:rPr>
          <w:color w:val="000000"/>
          <w:lang w:val="ro-RO" w:eastAsia="ko-KR"/>
        </w:rPr>
      </w:pPr>
      <w:r>
        <w:rPr>
          <w:color w:val="000000"/>
          <w:lang w:val="ro-RO" w:eastAsia="ko-KR"/>
        </w:rPr>
        <w:t>Studiul are în vedere dezvoltarea</w:t>
      </w:r>
      <w:r w:rsidR="00087622" w:rsidRPr="00087622">
        <w:rPr>
          <w:color w:val="000000"/>
          <w:lang w:val="ro-RO" w:eastAsia="ko-KR"/>
        </w:rPr>
        <w:t xml:space="preserve"> de ansamblu,  cor</w:t>
      </w:r>
      <w:r w:rsidR="00AB71AB">
        <w:rPr>
          <w:color w:val="000000"/>
          <w:lang w:val="ro-RO" w:eastAsia="ko-KR"/>
        </w:rPr>
        <w:t>el</w:t>
      </w:r>
      <w:r w:rsidR="00087622" w:rsidRPr="00087622">
        <w:rPr>
          <w:color w:val="000000"/>
          <w:lang w:val="ro-RO" w:eastAsia="ko-KR"/>
        </w:rPr>
        <w:t>area măsurilor locale cu rețe</w:t>
      </w:r>
      <w:r w:rsidR="00AD7B9E">
        <w:rPr>
          <w:color w:val="000000"/>
          <w:lang w:val="ro-RO" w:eastAsia="ko-KR"/>
        </w:rPr>
        <w:t>u</w:t>
      </w:r>
      <w:r w:rsidR="00087622" w:rsidRPr="00087622">
        <w:rPr>
          <w:color w:val="000000"/>
          <w:lang w:val="ro-RO" w:eastAsia="ko-KR"/>
        </w:rPr>
        <w:t>a de infrastructură, spații verzi, tipologii const</w:t>
      </w:r>
      <w:r w:rsidR="00AD7B9E">
        <w:rPr>
          <w:color w:val="000000"/>
          <w:lang w:val="ro-RO" w:eastAsia="ko-KR"/>
        </w:rPr>
        <w:t>ruite etc.</w:t>
      </w:r>
      <w:r w:rsidR="00087622" w:rsidRPr="00087622">
        <w:rPr>
          <w:color w:val="000000"/>
          <w:lang w:val="ro-RO" w:eastAsia="ko-KR"/>
        </w:rPr>
        <w:t xml:space="preserve"> și cu documentațiil</w:t>
      </w:r>
      <w:r w:rsidR="00087622">
        <w:rPr>
          <w:color w:val="000000"/>
          <w:lang w:val="ro-RO" w:eastAsia="ko-KR"/>
        </w:rPr>
        <w:t>e de urbanism existente: PUG, iar</w:t>
      </w:r>
      <w:r w:rsidR="00087622" w:rsidRPr="00087622">
        <w:rPr>
          <w:color w:val="000000"/>
          <w:lang w:val="ro-RO" w:eastAsia="ko-KR"/>
        </w:rPr>
        <w:t xml:space="preserve"> ulterior in PUZ.</w:t>
      </w:r>
      <w:r w:rsidR="00087622">
        <w:rPr>
          <w:color w:val="000000"/>
          <w:lang w:val="ro-RO" w:eastAsia="ko-KR"/>
        </w:rPr>
        <w:t xml:space="preserve"> </w:t>
      </w:r>
      <w:r w:rsidR="00087622" w:rsidRPr="00087622">
        <w:rPr>
          <w:color w:val="000000"/>
          <w:lang w:val="ro-RO" w:eastAsia="ko-KR"/>
        </w:rPr>
        <w:t>Pentru a atinge obiective pe termen lung prin elaborare unui P.U.Z se vor stabili  strategia și reglement</w:t>
      </w:r>
      <w:r w:rsidR="00AD7B9E">
        <w:rPr>
          <w:color w:val="000000"/>
          <w:lang w:val="ro-RO" w:eastAsia="ko-KR"/>
        </w:rPr>
        <w:t>ăriile necesare, rezolvarea</w:t>
      </w:r>
      <w:r w:rsidR="00087622" w:rsidRPr="00087622">
        <w:rPr>
          <w:color w:val="000000"/>
          <w:lang w:val="ro-RO" w:eastAsia="ko-KR"/>
        </w:rPr>
        <w:t xml:space="preserve"> problemelor de ordin funcțional, tehnic și esteti</w:t>
      </w:r>
      <w:r w:rsidR="00087622">
        <w:rPr>
          <w:color w:val="000000"/>
          <w:lang w:val="ro-RO" w:eastAsia="ko-KR"/>
        </w:rPr>
        <w:t>c din cadrul zonei propuse spre</w:t>
      </w:r>
      <w:r w:rsidR="00087622" w:rsidRPr="00087622">
        <w:rPr>
          <w:color w:val="000000"/>
          <w:lang w:val="ro-RO" w:eastAsia="ko-KR"/>
        </w:rPr>
        <w:t xml:space="preserve"> dezvol</w:t>
      </w:r>
      <w:r w:rsidR="00087622">
        <w:rPr>
          <w:color w:val="000000"/>
          <w:lang w:val="ro-RO" w:eastAsia="ko-KR"/>
        </w:rPr>
        <w:t>t</w:t>
      </w:r>
      <w:r w:rsidR="00087622" w:rsidRPr="00087622">
        <w:rPr>
          <w:color w:val="000000"/>
          <w:lang w:val="ro-RO" w:eastAsia="ko-KR"/>
        </w:rPr>
        <w:t>are.</w:t>
      </w:r>
    </w:p>
    <w:p w:rsidR="008B1746" w:rsidRPr="008B1746" w:rsidRDefault="008B1746" w:rsidP="008B1746">
      <w:pPr>
        <w:ind w:firstLine="720"/>
        <w:jc w:val="both"/>
        <w:rPr>
          <w:color w:val="000000"/>
          <w:lang w:val="ro-RO"/>
        </w:rPr>
      </w:pPr>
      <w:r w:rsidRPr="008B1746">
        <w:rPr>
          <w:color w:val="000000"/>
          <w:lang w:val="ro-RO"/>
        </w:rPr>
        <w:t>Zona propusa prin Studiul de Oportunitate  va cuprinde:</w:t>
      </w:r>
    </w:p>
    <w:p w:rsidR="008B1746" w:rsidRPr="008B1746" w:rsidRDefault="008B1746" w:rsidP="008B1746">
      <w:pPr>
        <w:numPr>
          <w:ilvl w:val="0"/>
          <w:numId w:val="2"/>
        </w:numPr>
        <w:ind w:left="1440" w:hanging="360"/>
        <w:jc w:val="both"/>
        <w:rPr>
          <w:color w:val="000000"/>
          <w:lang w:val="ro-RO"/>
        </w:rPr>
      </w:pPr>
      <w:r w:rsidRPr="008B1746">
        <w:rPr>
          <w:color w:val="000000"/>
          <w:lang w:val="ro-RO"/>
        </w:rPr>
        <w:lastRenderedPageBreak/>
        <w:t>sapte blocuri de locuinte colective cu regim maxim de ina</w:t>
      </w:r>
      <w:r w:rsidR="00E2173E">
        <w:rPr>
          <w:color w:val="000000"/>
          <w:lang w:val="ro-RO"/>
        </w:rPr>
        <w:t>ltime P+10E+Er, compus din cca 3</w:t>
      </w:r>
      <w:r w:rsidRPr="008B1746">
        <w:rPr>
          <w:color w:val="000000"/>
          <w:lang w:val="ro-RO"/>
        </w:rPr>
        <w:t>90 de apartamente si o zona aferente functiunii constand dintr-o parcare supraterana, asigurandu-se minim 1 loc de parcare /unitate de locuit in la nivelul solului;</w:t>
      </w:r>
    </w:p>
    <w:p w:rsidR="008B1746" w:rsidRPr="008B1746" w:rsidRDefault="008B1746" w:rsidP="008B1746">
      <w:pPr>
        <w:numPr>
          <w:ilvl w:val="0"/>
          <w:numId w:val="2"/>
        </w:numPr>
        <w:ind w:left="1440" w:hanging="360"/>
        <w:jc w:val="both"/>
        <w:rPr>
          <w:color w:val="000000"/>
          <w:lang w:val="ro-RO"/>
        </w:rPr>
      </w:pPr>
      <w:r w:rsidRPr="008B1746">
        <w:rPr>
          <w:color w:val="000000"/>
          <w:lang w:val="ro-RO"/>
        </w:rPr>
        <w:t xml:space="preserve"> zone verzi: ansamblul va beneficia de o zona verde cu amenajari locale ambientale;</w:t>
      </w:r>
    </w:p>
    <w:p w:rsidR="008B1746" w:rsidRPr="008B1746" w:rsidRDefault="008B1746" w:rsidP="008B1746">
      <w:pPr>
        <w:numPr>
          <w:ilvl w:val="0"/>
          <w:numId w:val="2"/>
        </w:numPr>
        <w:ind w:left="1440" w:hanging="360"/>
        <w:jc w:val="both"/>
        <w:rPr>
          <w:color w:val="000000"/>
          <w:lang w:val="ro-RO"/>
        </w:rPr>
      </w:pPr>
      <w:r w:rsidRPr="008B1746">
        <w:rPr>
          <w:color w:val="000000"/>
          <w:lang w:val="ro-RO"/>
        </w:rPr>
        <w:t>zone destinate recreerii: loc de joaca;</w:t>
      </w:r>
    </w:p>
    <w:p w:rsidR="008B1746" w:rsidRPr="008B1746" w:rsidRDefault="008B1746" w:rsidP="008B1746">
      <w:pPr>
        <w:numPr>
          <w:ilvl w:val="0"/>
          <w:numId w:val="2"/>
        </w:numPr>
        <w:ind w:left="1440" w:hanging="360"/>
        <w:jc w:val="both"/>
        <w:rPr>
          <w:color w:val="000000"/>
          <w:lang w:val="ro-RO"/>
        </w:rPr>
      </w:pPr>
      <w:r w:rsidRPr="008B1746">
        <w:rPr>
          <w:color w:val="000000"/>
          <w:lang w:val="ro-RO"/>
        </w:rPr>
        <w:t>zone destinate circulatiei pietonale si carosabile, parcari: ansamblul va beneficia de locuri de parcare supraterane, amplasate perimetral constructiei;</w:t>
      </w:r>
    </w:p>
    <w:p w:rsidR="008B1746" w:rsidRPr="008B1746" w:rsidRDefault="008B1746" w:rsidP="008B1746">
      <w:pPr>
        <w:numPr>
          <w:ilvl w:val="0"/>
          <w:numId w:val="2"/>
        </w:numPr>
        <w:ind w:left="1440" w:hanging="360"/>
        <w:jc w:val="both"/>
        <w:rPr>
          <w:color w:val="000000"/>
          <w:lang w:val="ro-RO"/>
        </w:rPr>
      </w:pPr>
      <w:r w:rsidRPr="008B1746">
        <w:rPr>
          <w:color w:val="000000"/>
          <w:lang w:val="ro-RO"/>
        </w:rPr>
        <w:t>subzone destinate constructiilor aferente echiparii tehnico-edilitare.</w:t>
      </w:r>
    </w:p>
    <w:p w:rsidR="008B1746" w:rsidRPr="008B1746" w:rsidRDefault="008B1746" w:rsidP="008B1746">
      <w:pPr>
        <w:autoSpaceDE w:val="0"/>
        <w:autoSpaceDN w:val="0"/>
        <w:adjustRightInd w:val="0"/>
        <w:ind w:firstLine="720"/>
        <w:jc w:val="both"/>
        <w:rPr>
          <w:color w:val="000000"/>
          <w:lang w:val="ro-RO" w:eastAsia="ko-KR"/>
        </w:rPr>
      </w:pPr>
      <w:r w:rsidRPr="008B1746">
        <w:rPr>
          <w:color w:val="000000"/>
          <w:lang w:val="ro-RO" w:eastAsia="ko-KR"/>
        </w:rPr>
        <w:t>Varianta 1 este recomandata de el</w:t>
      </w:r>
      <w:r>
        <w:rPr>
          <w:color w:val="000000"/>
          <w:lang w:val="ro-RO" w:eastAsia="ko-KR"/>
        </w:rPr>
        <w:t>a</w:t>
      </w:r>
      <w:r w:rsidRPr="008B1746">
        <w:rPr>
          <w:color w:val="000000"/>
          <w:lang w:val="ro-RO" w:eastAsia="ko-KR"/>
        </w:rPr>
        <w:t>boratorul Studiului de Oportunitate, ansamblu de locuinte, in regim maxim de ina</w:t>
      </w:r>
      <w:r>
        <w:rPr>
          <w:color w:val="000000"/>
          <w:lang w:val="ro-RO" w:eastAsia="ko-KR"/>
        </w:rPr>
        <w:t>ltime de P+10E+Er, prevazut cu p</w:t>
      </w:r>
      <w:r w:rsidRPr="008B1746">
        <w:rPr>
          <w:color w:val="000000"/>
          <w:lang w:val="ro-RO" w:eastAsia="ko-KR"/>
        </w:rPr>
        <w:t xml:space="preserve">arcari </w:t>
      </w:r>
      <w:r>
        <w:rPr>
          <w:color w:val="000000"/>
          <w:lang w:val="ro-RO" w:eastAsia="ko-KR"/>
        </w:rPr>
        <w:t>s</w:t>
      </w:r>
      <w:r w:rsidRPr="008B1746">
        <w:rPr>
          <w:color w:val="000000"/>
          <w:lang w:val="ro-RO" w:eastAsia="ko-KR"/>
        </w:rPr>
        <w:t>upraterane, numar maxim de 390 Unitati Locative/ Apartamente</w:t>
      </w:r>
      <w:r>
        <w:rPr>
          <w:color w:val="000000"/>
          <w:lang w:val="ro-RO" w:eastAsia="ko-KR"/>
        </w:rPr>
        <w:t>.</w:t>
      </w:r>
      <w:r w:rsidRPr="008B1746">
        <w:rPr>
          <w:color w:val="000000"/>
          <w:lang w:val="ro-RO" w:eastAsia="ko-KR"/>
        </w:rPr>
        <w:t xml:space="preserve">   </w:t>
      </w:r>
    </w:p>
    <w:p w:rsidR="00C67DEB" w:rsidRPr="00200E19" w:rsidRDefault="00061C29" w:rsidP="00E35B31">
      <w:pPr>
        <w:autoSpaceDE w:val="0"/>
        <w:autoSpaceDN w:val="0"/>
        <w:adjustRightInd w:val="0"/>
        <w:jc w:val="both"/>
        <w:rPr>
          <w:lang w:val="ro-RO" w:eastAsia="ko-KR"/>
        </w:rPr>
      </w:pPr>
      <w:r w:rsidRPr="00200E19">
        <w:rPr>
          <w:color w:val="000000"/>
          <w:lang w:val="ro-RO" w:eastAsia="ko-KR"/>
        </w:rPr>
        <w:tab/>
      </w:r>
      <w:r w:rsidR="00AB71AB">
        <w:rPr>
          <w:color w:val="000000"/>
          <w:lang w:val="ro-RO" w:eastAsia="ko-KR"/>
        </w:rPr>
        <w:t>Întrucât, c</w:t>
      </w:r>
      <w:r w:rsidR="00C67DEB" w:rsidRPr="00200E19">
        <w:rPr>
          <w:lang w:val="ro-RO" w:eastAsia="ko-KR"/>
        </w:rPr>
        <w:t xml:space="preserve">onsiliul local exercită următoarele categorii de atribuţii (conform art. 36 alin. (2) lit. </w:t>
      </w:r>
      <w:r w:rsidR="00425572" w:rsidRPr="00200E19">
        <w:rPr>
          <w:lang w:val="ro-RO" w:eastAsia="ko-KR"/>
        </w:rPr>
        <w:t>c</w:t>
      </w:r>
      <w:r w:rsidR="00C67DEB" w:rsidRPr="00200E19">
        <w:rPr>
          <w:lang w:val="ro-RO" w:eastAsia="ko-KR"/>
        </w:rPr>
        <w:t>) şi d) din Legea nr. 215/2001):</w:t>
      </w:r>
    </w:p>
    <w:p w:rsidR="00425572" w:rsidRPr="00200E19" w:rsidRDefault="00C2527F" w:rsidP="00425572">
      <w:pPr>
        <w:autoSpaceDE w:val="0"/>
        <w:autoSpaceDN w:val="0"/>
        <w:adjustRightInd w:val="0"/>
        <w:jc w:val="both"/>
        <w:rPr>
          <w:lang w:val="ro-RO" w:eastAsia="ko-KR"/>
        </w:rPr>
      </w:pPr>
      <w:r w:rsidRPr="00200E19">
        <w:rPr>
          <w:lang w:val="ro-RO" w:eastAsia="ko-KR"/>
        </w:rPr>
        <w:t xml:space="preserve">   </w:t>
      </w:r>
      <w:r w:rsidR="00425572" w:rsidRPr="00200E19">
        <w:rPr>
          <w:lang w:val="ro-RO" w:eastAsia="ko-KR"/>
        </w:rPr>
        <w:t xml:space="preserve"> c) atribuţii privind administrarea domeniului public şi privat al comunei, oraşului sau municipiului;</w:t>
      </w:r>
    </w:p>
    <w:p w:rsidR="00425572" w:rsidRPr="00200E19" w:rsidRDefault="00425572" w:rsidP="00425572">
      <w:pPr>
        <w:autoSpaceDE w:val="0"/>
        <w:autoSpaceDN w:val="0"/>
        <w:adjustRightInd w:val="0"/>
        <w:jc w:val="both"/>
        <w:rPr>
          <w:lang w:val="ro-RO" w:eastAsia="ko-KR"/>
        </w:rPr>
      </w:pPr>
      <w:r w:rsidRPr="00200E19">
        <w:rPr>
          <w:lang w:val="ro-RO" w:eastAsia="ko-KR"/>
        </w:rPr>
        <w:t xml:space="preserve">    d) atribuţii privind gestionarea servi</w:t>
      </w:r>
      <w:r w:rsidR="00AB71AB">
        <w:rPr>
          <w:lang w:val="ro-RO" w:eastAsia="ko-KR"/>
        </w:rPr>
        <w:t xml:space="preserve">ciilor furnizate către cetăţeni; se impune aprobarea </w:t>
      </w:r>
      <w:r w:rsidR="00AB71AB">
        <w:rPr>
          <w:lang w:val="ro-RO" w:eastAsia="ro-RO"/>
        </w:rPr>
        <w:t xml:space="preserve">Studiului de oportunitate pentru realizarea de locuinţe de serviciu </w:t>
      </w:r>
      <w:r w:rsidR="00AB71AB" w:rsidRPr="008B1746">
        <w:rPr>
          <w:bCs/>
          <w:lang w:val="ro-RO" w:eastAsia="ro-RO"/>
        </w:rPr>
        <w:t>şi servicii suport în regim S+P+10E+Er de către Regia Autonomă de Transport Timişoara</w:t>
      </w:r>
    </w:p>
    <w:p w:rsidR="002061B8" w:rsidRPr="00200E19" w:rsidRDefault="002061B8" w:rsidP="00425572">
      <w:pPr>
        <w:autoSpaceDE w:val="0"/>
        <w:autoSpaceDN w:val="0"/>
        <w:adjustRightInd w:val="0"/>
        <w:jc w:val="both"/>
        <w:rPr>
          <w:color w:val="000000"/>
          <w:lang w:val="ro-RO" w:eastAsia="ko-KR"/>
        </w:rPr>
      </w:pPr>
      <w:r w:rsidRPr="00200E19">
        <w:rPr>
          <w:lang w:val="ro-RO"/>
        </w:rPr>
        <w:tab/>
      </w:r>
      <w:r w:rsidRPr="00200E19">
        <w:rPr>
          <w:lang w:val="ro-RO" w:eastAsia="ro-RO"/>
        </w:rPr>
        <w:t xml:space="preserve">Luând în considerare toate cele mai sus menţionate, </w:t>
      </w:r>
      <w:r w:rsidR="00E35B31" w:rsidRPr="00200E19">
        <w:rPr>
          <w:lang w:val="ro-RO" w:eastAsia="ro-RO"/>
        </w:rPr>
        <w:t xml:space="preserve">propunem </w:t>
      </w:r>
      <w:r w:rsidR="008B1746">
        <w:rPr>
          <w:lang w:val="ro-RO" w:eastAsia="ro-RO"/>
        </w:rPr>
        <w:t xml:space="preserve">aprobarea Studiului de oportunitate pentru realizarea de locuinţe de serviciu </w:t>
      </w:r>
      <w:r w:rsidR="008B1746" w:rsidRPr="008B1746">
        <w:rPr>
          <w:bCs/>
          <w:lang w:val="ro-RO" w:eastAsia="ro-RO"/>
        </w:rPr>
        <w:t>şi servicii suport în regim S+P+10E+Er de către Regia Autonomă de Transport Timişoara</w:t>
      </w:r>
      <w:r w:rsidR="002E1BC2" w:rsidRPr="00200E19">
        <w:rPr>
          <w:color w:val="000000"/>
          <w:lang w:val="ro-RO" w:eastAsia="ko-KR"/>
        </w:rPr>
        <w:t>.</w:t>
      </w:r>
    </w:p>
    <w:p w:rsidR="00C801A9" w:rsidRPr="008F21BF" w:rsidRDefault="00C801A9" w:rsidP="00C801A9">
      <w:pPr>
        <w:autoSpaceDE w:val="0"/>
        <w:autoSpaceDN w:val="0"/>
        <w:adjustRightInd w:val="0"/>
        <w:jc w:val="center"/>
        <w:rPr>
          <w:color w:val="000000"/>
          <w:lang w:val="ro-RO" w:eastAsia="ko-KR"/>
        </w:rPr>
      </w:pPr>
    </w:p>
    <w:p w:rsidR="00C801A9" w:rsidRPr="008F21BF" w:rsidRDefault="00C801A9" w:rsidP="00C801A9">
      <w:pPr>
        <w:rPr>
          <w:b/>
          <w:lang w:val="ro-RO"/>
        </w:rPr>
      </w:pPr>
    </w:p>
    <w:p w:rsidR="00C801A9" w:rsidRDefault="00C801A9" w:rsidP="00C801A9">
      <w:pPr>
        <w:rPr>
          <w:b/>
          <w:lang w:val="ro-RO"/>
        </w:rPr>
      </w:pPr>
    </w:p>
    <w:p w:rsidR="00AB71AB" w:rsidRPr="008F21BF" w:rsidRDefault="00AB71AB" w:rsidP="00C801A9">
      <w:pPr>
        <w:rPr>
          <w:b/>
          <w:lang w:val="ro-RO"/>
        </w:rPr>
      </w:pPr>
    </w:p>
    <w:tbl>
      <w:tblPr>
        <w:tblW w:w="0" w:type="auto"/>
        <w:tblInd w:w="108" w:type="dxa"/>
        <w:tblLook w:val="01E0"/>
      </w:tblPr>
      <w:tblGrid>
        <w:gridCol w:w="4135"/>
        <w:gridCol w:w="335"/>
        <w:gridCol w:w="4278"/>
      </w:tblGrid>
      <w:tr w:rsidR="00AB71AB" w:rsidRPr="00B46754" w:rsidTr="00C96093">
        <w:tc>
          <w:tcPr>
            <w:tcW w:w="4135" w:type="dxa"/>
            <w:vAlign w:val="center"/>
          </w:tcPr>
          <w:p w:rsidR="00AB71AB" w:rsidRPr="00B46754" w:rsidRDefault="00AB71AB" w:rsidP="00C96093">
            <w:pPr>
              <w:jc w:val="center"/>
              <w:rPr>
                <w:b/>
                <w:lang w:val="ro-RO"/>
              </w:rPr>
            </w:pPr>
            <w:r w:rsidRPr="00B46754">
              <w:rPr>
                <w:b/>
                <w:lang w:val="ro-RO"/>
              </w:rPr>
              <w:t xml:space="preserve">DIRECTOR, </w:t>
            </w:r>
          </w:p>
        </w:tc>
        <w:tc>
          <w:tcPr>
            <w:tcW w:w="335" w:type="dxa"/>
            <w:vAlign w:val="center"/>
          </w:tcPr>
          <w:p w:rsidR="00AB71AB" w:rsidRPr="00B46754" w:rsidRDefault="00AB71AB" w:rsidP="00C96093">
            <w:pPr>
              <w:jc w:val="center"/>
              <w:rPr>
                <w:b/>
                <w:lang w:val="ro-RO"/>
              </w:rPr>
            </w:pPr>
          </w:p>
        </w:tc>
        <w:tc>
          <w:tcPr>
            <w:tcW w:w="4278" w:type="dxa"/>
            <w:vAlign w:val="center"/>
          </w:tcPr>
          <w:p w:rsidR="00AB71AB" w:rsidRPr="00B46754" w:rsidRDefault="00AB71AB" w:rsidP="00C96093">
            <w:pPr>
              <w:jc w:val="center"/>
              <w:rPr>
                <w:b/>
                <w:lang w:val="ro-RO"/>
              </w:rPr>
            </w:pPr>
            <w:r w:rsidRPr="00B46754">
              <w:rPr>
                <w:b/>
                <w:lang w:val="ro-RO"/>
              </w:rPr>
              <w:t>ŞEF SERVICIU,</w:t>
            </w:r>
          </w:p>
        </w:tc>
      </w:tr>
      <w:tr w:rsidR="00AB71AB" w:rsidRPr="00B46754" w:rsidTr="00C96093">
        <w:tc>
          <w:tcPr>
            <w:tcW w:w="4135" w:type="dxa"/>
            <w:vAlign w:val="center"/>
          </w:tcPr>
          <w:p w:rsidR="00AB71AB" w:rsidRPr="00B46754" w:rsidRDefault="00AB71AB" w:rsidP="00C96093">
            <w:pPr>
              <w:jc w:val="center"/>
              <w:rPr>
                <w:i/>
                <w:lang w:val="ro-RO"/>
              </w:rPr>
            </w:pPr>
            <w:r w:rsidRPr="00B46754">
              <w:rPr>
                <w:i/>
                <w:lang w:val="ro-RO"/>
              </w:rPr>
              <w:t>CULIŢĂ CHIŞ</w:t>
            </w:r>
          </w:p>
        </w:tc>
        <w:tc>
          <w:tcPr>
            <w:tcW w:w="335" w:type="dxa"/>
            <w:vAlign w:val="center"/>
          </w:tcPr>
          <w:p w:rsidR="00AB71AB" w:rsidRPr="00B46754" w:rsidRDefault="00AB71AB" w:rsidP="00C96093">
            <w:pPr>
              <w:jc w:val="center"/>
              <w:rPr>
                <w:lang w:val="ro-RO"/>
              </w:rPr>
            </w:pPr>
          </w:p>
        </w:tc>
        <w:tc>
          <w:tcPr>
            <w:tcW w:w="4278" w:type="dxa"/>
            <w:vAlign w:val="center"/>
          </w:tcPr>
          <w:p w:rsidR="00AB71AB" w:rsidRPr="00B46754" w:rsidRDefault="00AB71AB" w:rsidP="00C96093">
            <w:pPr>
              <w:jc w:val="center"/>
              <w:rPr>
                <w:i/>
                <w:lang w:val="ro-RO"/>
              </w:rPr>
            </w:pPr>
            <w:r w:rsidRPr="00B46754">
              <w:rPr>
                <w:i/>
                <w:lang w:val="ro-RO"/>
              </w:rPr>
              <w:t>ADRIAN COLOJOARĂ</w:t>
            </w:r>
          </w:p>
        </w:tc>
      </w:tr>
      <w:tr w:rsidR="00AB71AB" w:rsidRPr="00B46754" w:rsidTr="00C96093">
        <w:tc>
          <w:tcPr>
            <w:tcW w:w="4135" w:type="dxa"/>
            <w:vAlign w:val="center"/>
          </w:tcPr>
          <w:p w:rsidR="00AB71AB" w:rsidRPr="00B46754" w:rsidRDefault="00AB71AB" w:rsidP="00C96093">
            <w:pPr>
              <w:jc w:val="center"/>
              <w:rPr>
                <w:b/>
                <w:lang w:val="ro-RO"/>
              </w:rPr>
            </w:pPr>
          </w:p>
        </w:tc>
        <w:tc>
          <w:tcPr>
            <w:tcW w:w="335" w:type="dxa"/>
            <w:vAlign w:val="center"/>
          </w:tcPr>
          <w:p w:rsidR="00AB71AB" w:rsidRPr="00B46754" w:rsidRDefault="00AB71AB" w:rsidP="00C96093">
            <w:pPr>
              <w:jc w:val="center"/>
              <w:rPr>
                <w:b/>
                <w:lang w:val="ro-RO"/>
              </w:rPr>
            </w:pPr>
          </w:p>
        </w:tc>
        <w:tc>
          <w:tcPr>
            <w:tcW w:w="4278" w:type="dxa"/>
            <w:vAlign w:val="center"/>
          </w:tcPr>
          <w:p w:rsidR="00AB71AB" w:rsidRPr="00B46754" w:rsidRDefault="00AB71AB" w:rsidP="00C96093">
            <w:pPr>
              <w:jc w:val="center"/>
              <w:rPr>
                <w:b/>
                <w:i/>
                <w:lang w:val="ro-RO"/>
              </w:rPr>
            </w:pPr>
          </w:p>
          <w:p w:rsidR="00AB71AB" w:rsidRPr="00B46754" w:rsidRDefault="00AB71AB" w:rsidP="00C96093">
            <w:pPr>
              <w:jc w:val="center"/>
              <w:rPr>
                <w:b/>
                <w:i/>
                <w:lang w:val="ro-RO"/>
              </w:rPr>
            </w:pPr>
          </w:p>
          <w:p w:rsidR="00AB71AB" w:rsidRPr="00B46754" w:rsidRDefault="00AB71AB" w:rsidP="00C96093">
            <w:pPr>
              <w:jc w:val="center"/>
              <w:rPr>
                <w:b/>
                <w:i/>
                <w:lang w:val="ro-RO"/>
              </w:rPr>
            </w:pPr>
          </w:p>
          <w:p w:rsidR="00AB71AB" w:rsidRPr="00B46754" w:rsidRDefault="00AB71AB" w:rsidP="00C96093">
            <w:pPr>
              <w:jc w:val="center"/>
              <w:rPr>
                <w:b/>
                <w:lang w:val="ro-RO"/>
              </w:rPr>
            </w:pPr>
            <w:r w:rsidRPr="00B46754">
              <w:rPr>
                <w:b/>
                <w:lang w:val="ro-RO"/>
              </w:rPr>
              <w:t>CONSILIER,</w:t>
            </w:r>
          </w:p>
        </w:tc>
      </w:tr>
      <w:tr w:rsidR="00AB71AB" w:rsidRPr="00B46754" w:rsidTr="00C96093">
        <w:tc>
          <w:tcPr>
            <w:tcW w:w="4135" w:type="dxa"/>
            <w:vAlign w:val="center"/>
          </w:tcPr>
          <w:p w:rsidR="00AB71AB" w:rsidRPr="00B46754" w:rsidRDefault="00AB71AB" w:rsidP="00C96093">
            <w:pPr>
              <w:jc w:val="center"/>
              <w:rPr>
                <w:i/>
                <w:lang w:val="ro-RO"/>
              </w:rPr>
            </w:pPr>
          </w:p>
        </w:tc>
        <w:tc>
          <w:tcPr>
            <w:tcW w:w="335" w:type="dxa"/>
            <w:vAlign w:val="center"/>
          </w:tcPr>
          <w:p w:rsidR="00AB71AB" w:rsidRPr="00B46754" w:rsidRDefault="00AB71AB" w:rsidP="00C96093">
            <w:pPr>
              <w:jc w:val="center"/>
              <w:rPr>
                <w:lang w:val="ro-RO"/>
              </w:rPr>
            </w:pPr>
          </w:p>
        </w:tc>
        <w:tc>
          <w:tcPr>
            <w:tcW w:w="4278" w:type="dxa"/>
            <w:vAlign w:val="center"/>
          </w:tcPr>
          <w:p w:rsidR="00AB71AB" w:rsidRPr="00B46754" w:rsidRDefault="00AB71AB" w:rsidP="00C96093">
            <w:pPr>
              <w:jc w:val="center"/>
              <w:rPr>
                <w:i/>
              </w:rPr>
            </w:pPr>
            <w:r w:rsidRPr="00B46754">
              <w:rPr>
                <w:i/>
                <w:lang w:val="ro-RO"/>
              </w:rPr>
              <w:t xml:space="preserve"> </w:t>
            </w:r>
            <w:r w:rsidRPr="00B46754">
              <w:rPr>
                <w:i/>
              </w:rPr>
              <w:t xml:space="preserve">NASTASIA </w:t>
            </w:r>
            <w:r>
              <w:rPr>
                <w:i/>
              </w:rPr>
              <w:t>POP</w:t>
            </w:r>
          </w:p>
        </w:tc>
      </w:tr>
    </w:tbl>
    <w:p w:rsidR="00AB71AB" w:rsidRPr="00075C2C" w:rsidRDefault="00AB71AB" w:rsidP="00AB71AB">
      <w:pPr>
        <w:autoSpaceDE w:val="0"/>
        <w:autoSpaceDN w:val="0"/>
        <w:adjustRightInd w:val="0"/>
        <w:ind w:firstLine="720"/>
        <w:jc w:val="both"/>
        <w:rPr>
          <w:lang w:val="ro-RO"/>
        </w:rPr>
      </w:pPr>
    </w:p>
    <w:p w:rsidR="00C801A9" w:rsidRPr="008F21BF" w:rsidRDefault="00C801A9" w:rsidP="00C801A9">
      <w:pPr>
        <w:rPr>
          <w:b/>
          <w:lang w:val="ro-RO"/>
        </w:rPr>
      </w:pPr>
    </w:p>
    <w:sectPr w:rsidR="00C801A9" w:rsidRPr="008F21BF" w:rsidSect="00AB71AB">
      <w:footerReference w:type="default" r:id="rId9"/>
      <w:pgSz w:w="12240" w:h="15840"/>
      <w:pgMar w:top="450" w:right="900" w:bottom="54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A51" w:rsidRDefault="00355A51" w:rsidP="003804AE">
      <w:r>
        <w:separator/>
      </w:r>
    </w:p>
  </w:endnote>
  <w:endnote w:type="continuationSeparator" w:id="0">
    <w:p w:rsidR="00355A51" w:rsidRDefault="00355A51"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746" w:rsidRDefault="008B1746">
    <w:pPr>
      <w:pStyle w:val="Footer"/>
      <w:pBdr>
        <w:top w:val="thinThickSmallGap" w:sz="24" w:space="1" w:color="622423" w:themeColor="accent2" w:themeShade="7F"/>
      </w:pBdr>
      <w:rPr>
        <w:rFonts w:asciiTheme="majorHAnsi" w:hAnsiTheme="majorHAnsi"/>
      </w:rPr>
    </w:pPr>
    <w:r>
      <w:rPr>
        <w:rFonts w:asciiTheme="majorHAnsi" w:hAnsiTheme="majorHAnsi"/>
      </w:rPr>
      <w:t xml:space="preserve">Cod FO 53-02, ver. 2                                                                                                                                              Page </w:t>
    </w:r>
    <w:fldSimple w:instr=" PAGE   \* MERGEFORMAT ">
      <w:r w:rsidR="000E1C3C" w:rsidRPr="000E1C3C">
        <w:rPr>
          <w:rFonts w:asciiTheme="majorHAnsi" w:hAnsiTheme="majorHAnsi"/>
          <w:noProof/>
        </w:rPr>
        <w:t>1</w:t>
      </w:r>
    </w:fldSimple>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A51" w:rsidRDefault="00355A51" w:rsidP="003804AE">
      <w:r>
        <w:separator/>
      </w:r>
    </w:p>
  </w:footnote>
  <w:footnote w:type="continuationSeparator" w:id="0">
    <w:p w:rsidR="00355A51" w:rsidRDefault="00355A51"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3485"/>
    <w:multiLevelType w:val="multilevel"/>
    <w:tmpl w:val="00C62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33434"/>
    <w:rsid w:val="00046036"/>
    <w:rsid w:val="00061C29"/>
    <w:rsid w:val="00066773"/>
    <w:rsid w:val="00087171"/>
    <w:rsid w:val="00087622"/>
    <w:rsid w:val="000A146F"/>
    <w:rsid w:val="000A5298"/>
    <w:rsid w:val="000B3695"/>
    <w:rsid w:val="000E1C3C"/>
    <w:rsid w:val="001201BB"/>
    <w:rsid w:val="00133718"/>
    <w:rsid w:val="00137D26"/>
    <w:rsid w:val="00147409"/>
    <w:rsid w:val="001526C7"/>
    <w:rsid w:val="00176E65"/>
    <w:rsid w:val="00184375"/>
    <w:rsid w:val="0018503A"/>
    <w:rsid w:val="0018749E"/>
    <w:rsid w:val="001F7B58"/>
    <w:rsid w:val="00200E19"/>
    <w:rsid w:val="00204FBA"/>
    <w:rsid w:val="002061B8"/>
    <w:rsid w:val="00214D7A"/>
    <w:rsid w:val="00215F0F"/>
    <w:rsid w:val="00217A04"/>
    <w:rsid w:val="002376F5"/>
    <w:rsid w:val="00260161"/>
    <w:rsid w:val="00286A4C"/>
    <w:rsid w:val="0029166B"/>
    <w:rsid w:val="002E1BC2"/>
    <w:rsid w:val="002E4CD7"/>
    <w:rsid w:val="00317519"/>
    <w:rsid w:val="00321306"/>
    <w:rsid w:val="0034204D"/>
    <w:rsid w:val="003511B0"/>
    <w:rsid w:val="00355A51"/>
    <w:rsid w:val="0036608E"/>
    <w:rsid w:val="003675DE"/>
    <w:rsid w:val="003804AE"/>
    <w:rsid w:val="0038506C"/>
    <w:rsid w:val="00393D28"/>
    <w:rsid w:val="00396A50"/>
    <w:rsid w:val="00412903"/>
    <w:rsid w:val="00425572"/>
    <w:rsid w:val="00431403"/>
    <w:rsid w:val="00467EDD"/>
    <w:rsid w:val="004E28AE"/>
    <w:rsid w:val="005454EE"/>
    <w:rsid w:val="00553064"/>
    <w:rsid w:val="0055722B"/>
    <w:rsid w:val="005B2B39"/>
    <w:rsid w:val="005B7FEC"/>
    <w:rsid w:val="005C5AA4"/>
    <w:rsid w:val="00601BBB"/>
    <w:rsid w:val="00616CC6"/>
    <w:rsid w:val="00624CE4"/>
    <w:rsid w:val="006277C0"/>
    <w:rsid w:val="00684870"/>
    <w:rsid w:val="006C4473"/>
    <w:rsid w:val="006D4318"/>
    <w:rsid w:val="006D52A1"/>
    <w:rsid w:val="006E0BB1"/>
    <w:rsid w:val="006F3CDC"/>
    <w:rsid w:val="00704869"/>
    <w:rsid w:val="00755C9D"/>
    <w:rsid w:val="0078233E"/>
    <w:rsid w:val="007D4CEB"/>
    <w:rsid w:val="007D6091"/>
    <w:rsid w:val="007E4428"/>
    <w:rsid w:val="007F1314"/>
    <w:rsid w:val="0081359B"/>
    <w:rsid w:val="00831E8A"/>
    <w:rsid w:val="00861D07"/>
    <w:rsid w:val="00870D0B"/>
    <w:rsid w:val="00881DE5"/>
    <w:rsid w:val="008908F6"/>
    <w:rsid w:val="00895D61"/>
    <w:rsid w:val="008A666E"/>
    <w:rsid w:val="008B1746"/>
    <w:rsid w:val="008C570A"/>
    <w:rsid w:val="008F21BF"/>
    <w:rsid w:val="008F76A4"/>
    <w:rsid w:val="00900C4F"/>
    <w:rsid w:val="00961C54"/>
    <w:rsid w:val="0097066C"/>
    <w:rsid w:val="009A77F0"/>
    <w:rsid w:val="009D446D"/>
    <w:rsid w:val="009E0397"/>
    <w:rsid w:val="009E7BF3"/>
    <w:rsid w:val="00A11556"/>
    <w:rsid w:val="00AB71AB"/>
    <w:rsid w:val="00AD7B9E"/>
    <w:rsid w:val="00AE0209"/>
    <w:rsid w:val="00B20418"/>
    <w:rsid w:val="00B34FCF"/>
    <w:rsid w:val="00B4126F"/>
    <w:rsid w:val="00B50B68"/>
    <w:rsid w:val="00B61EAD"/>
    <w:rsid w:val="00BC1B83"/>
    <w:rsid w:val="00BD4C37"/>
    <w:rsid w:val="00BD7772"/>
    <w:rsid w:val="00C2527F"/>
    <w:rsid w:val="00C36AC3"/>
    <w:rsid w:val="00C67DEB"/>
    <w:rsid w:val="00C7714D"/>
    <w:rsid w:val="00C801A9"/>
    <w:rsid w:val="00C8562C"/>
    <w:rsid w:val="00CA1481"/>
    <w:rsid w:val="00CB5059"/>
    <w:rsid w:val="00CB799C"/>
    <w:rsid w:val="00CF17C9"/>
    <w:rsid w:val="00D01634"/>
    <w:rsid w:val="00D25899"/>
    <w:rsid w:val="00D34D8E"/>
    <w:rsid w:val="00D517F7"/>
    <w:rsid w:val="00D55DBC"/>
    <w:rsid w:val="00D769F8"/>
    <w:rsid w:val="00D94808"/>
    <w:rsid w:val="00DD6D3C"/>
    <w:rsid w:val="00DF7658"/>
    <w:rsid w:val="00E2173E"/>
    <w:rsid w:val="00E35B31"/>
    <w:rsid w:val="00E46DFA"/>
    <w:rsid w:val="00E4742E"/>
    <w:rsid w:val="00E47A92"/>
    <w:rsid w:val="00E63B2A"/>
    <w:rsid w:val="00E75051"/>
    <w:rsid w:val="00E756D2"/>
    <w:rsid w:val="00EB2256"/>
    <w:rsid w:val="00EB7E08"/>
    <w:rsid w:val="00ED46E8"/>
    <w:rsid w:val="00ED736B"/>
    <w:rsid w:val="00EF4F4F"/>
    <w:rsid w:val="00F30FCA"/>
    <w:rsid w:val="00F35CA1"/>
    <w:rsid w:val="00F65933"/>
    <w:rsid w:val="00F704B5"/>
    <w:rsid w:val="00FB2E66"/>
    <w:rsid w:val="00FB4746"/>
    <w:rsid w:val="00FC0C96"/>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612F4-20E6-41E6-9B42-79E37C67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60</cp:revision>
  <cp:lastPrinted>2017-03-28T09:26:00Z</cp:lastPrinted>
  <dcterms:created xsi:type="dcterms:W3CDTF">2015-07-22T09:07:00Z</dcterms:created>
  <dcterms:modified xsi:type="dcterms:W3CDTF">2017-03-28T10:54:00Z</dcterms:modified>
</cp:coreProperties>
</file>