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39" w:rsidRPr="001A23A3" w:rsidRDefault="00592439" w:rsidP="00592439">
      <w:pPr>
        <w:pStyle w:val="Heading1"/>
        <w:rPr>
          <w:sz w:val="24"/>
          <w:szCs w:val="24"/>
          <w:lang w:val="ro-RO"/>
        </w:rPr>
      </w:pPr>
      <w:r w:rsidRPr="001A23A3">
        <w:rPr>
          <w:sz w:val="24"/>
          <w:szCs w:val="24"/>
          <w:lang w:val="ro-RO"/>
        </w:rPr>
        <w:t xml:space="preserve">ROMÂNIA  </w:t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  <w:t xml:space="preserve">                  </w:t>
      </w:r>
      <w:r w:rsidRPr="001A23A3">
        <w:rPr>
          <w:sz w:val="24"/>
          <w:szCs w:val="24"/>
          <w:lang w:val="ro-RO"/>
        </w:rPr>
        <w:tab/>
      </w:r>
      <w:r w:rsidRPr="001A23A3">
        <w:rPr>
          <w:sz w:val="24"/>
          <w:szCs w:val="24"/>
          <w:lang w:val="ro-RO"/>
        </w:rPr>
        <w:tab/>
        <w:t>APROBAT:</w:t>
      </w:r>
    </w:p>
    <w:p w:rsidR="00592439" w:rsidRPr="001A23A3" w:rsidRDefault="00592439" w:rsidP="00592439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JUDEŢUL TIMIŞ</w:t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  <w:t xml:space="preserve">        </w:t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  <w:t xml:space="preserve">  PRIMAR,</w:t>
      </w:r>
    </w:p>
    <w:p w:rsidR="00592439" w:rsidRDefault="00592439" w:rsidP="00592439">
      <w:pPr>
        <w:rPr>
          <w:b/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>MUNICIPIUL TIMIŞOARA</w:t>
      </w:r>
    </w:p>
    <w:p w:rsidR="005C4E7A" w:rsidRPr="001A23A3" w:rsidRDefault="005C4E7A" w:rsidP="0059243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DIRECTIA CLADIR,TERENURI SI  DOTARI DIVERSE</w:t>
      </w:r>
    </w:p>
    <w:p w:rsidR="00592439" w:rsidRPr="00147394" w:rsidRDefault="00592439" w:rsidP="00592439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 xml:space="preserve">COMPARTIMENT MONUMENTE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1A23A3">
        <w:rPr>
          <w:b/>
          <w:sz w:val="24"/>
          <w:szCs w:val="24"/>
          <w:lang w:val="ro-RO"/>
        </w:rPr>
        <w:t xml:space="preserve">        </w:t>
      </w:r>
      <w:r w:rsidR="005C4E7A">
        <w:rPr>
          <w:b/>
          <w:sz w:val="24"/>
          <w:szCs w:val="24"/>
          <w:lang w:val="ro-RO"/>
        </w:rPr>
        <w:t xml:space="preserve">   </w:t>
      </w:r>
      <w:r w:rsidR="00234D5A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  <w:lang w:val="ro-RO"/>
        </w:rPr>
        <w:t>NICOLAE ROBU</w:t>
      </w:r>
    </w:p>
    <w:p w:rsidR="00592439" w:rsidRPr="001A23A3" w:rsidRDefault="00592439" w:rsidP="00592439">
      <w:pPr>
        <w:rPr>
          <w:b/>
          <w:sz w:val="24"/>
          <w:szCs w:val="24"/>
          <w:lang w:val="ro-RO"/>
        </w:rPr>
      </w:pPr>
    </w:p>
    <w:p w:rsidR="00592439" w:rsidRPr="00147394" w:rsidRDefault="00592439" w:rsidP="00592439">
      <w:pPr>
        <w:rPr>
          <w:sz w:val="24"/>
          <w:szCs w:val="24"/>
          <w:lang w:val="ro-RO"/>
        </w:rPr>
      </w:pP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 w:rsidRPr="001A23A3"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592439" w:rsidRPr="00147394" w:rsidRDefault="00592439" w:rsidP="00592439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5C4E7A" w:rsidRPr="00234D5A" w:rsidRDefault="008E098B" w:rsidP="00234D5A">
      <w:pPr>
        <w:ind w:firstLine="708"/>
        <w:jc w:val="both"/>
        <w:rPr>
          <w:sz w:val="24"/>
          <w:szCs w:val="24"/>
          <w:u w:val="single"/>
          <w:lang w:val="ro-RO"/>
        </w:rPr>
      </w:pP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privind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neexercitarea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dreptului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de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preemţiune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din 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partea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Consiliului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Local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, la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intenţia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de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înstrăinare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a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Complexului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Comercial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 ,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situat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în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strada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Varful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cu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Dor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nr.3,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identificat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cu C.F nr. 401222(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provenit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din C.F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vechi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nr.2670</w:t>
      </w:r>
      <w:proofErr w:type="gramStart"/>
      <w:r w:rsidRPr="00234D5A">
        <w:rPr>
          <w:rFonts w:eastAsiaTheme="minorHAnsi"/>
          <w:bCs/>
          <w:color w:val="000000"/>
          <w:sz w:val="24"/>
          <w:szCs w:val="24"/>
        </w:rPr>
        <w:t>) ,</w:t>
      </w:r>
      <w:proofErr w:type="gramEnd"/>
      <w:r w:rsidRPr="00234D5A">
        <w:rPr>
          <w:rFonts w:eastAsiaTheme="minorHAnsi"/>
          <w:bCs/>
          <w:color w:val="000000"/>
          <w:sz w:val="24"/>
          <w:szCs w:val="24"/>
        </w:rPr>
        <w:t xml:space="preserve"> nr.topo7096, la </w:t>
      </w:r>
      <w:proofErr w:type="spellStart"/>
      <w:r w:rsidRPr="00234D5A">
        <w:rPr>
          <w:rFonts w:eastAsiaTheme="minorHAnsi"/>
          <w:bCs/>
          <w:color w:val="000000"/>
          <w:sz w:val="24"/>
          <w:szCs w:val="24"/>
        </w:rPr>
        <w:t>preţul</w:t>
      </w:r>
      <w:proofErr w:type="spellEnd"/>
      <w:r w:rsidRPr="00234D5A">
        <w:rPr>
          <w:rFonts w:eastAsiaTheme="minorHAnsi"/>
          <w:bCs/>
          <w:color w:val="000000"/>
          <w:sz w:val="24"/>
          <w:szCs w:val="24"/>
        </w:rPr>
        <w:t xml:space="preserve"> de 310.000 euro.</w:t>
      </w:r>
    </w:p>
    <w:p w:rsidR="005C4E7A" w:rsidRPr="00147394" w:rsidRDefault="005C4E7A" w:rsidP="00592439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592439" w:rsidRDefault="00592439" w:rsidP="00592439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615D8B" w:rsidRDefault="00615D8B" w:rsidP="00615D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r>
        <w:rPr>
          <w:rFonts w:eastAsiaTheme="minorHAnsi"/>
          <w:color w:val="000000"/>
          <w:sz w:val="24"/>
          <w:szCs w:val="24"/>
        </w:rPr>
        <w:t>Având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vedere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gramStart"/>
      <w:r>
        <w:rPr>
          <w:rFonts w:eastAsiaTheme="minorHAnsi"/>
          <w:color w:val="000000"/>
          <w:sz w:val="24"/>
          <w:szCs w:val="24"/>
        </w:rPr>
        <w:t>cu  nr.CT2015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-000859 din 12.02.2015, </w:t>
      </w:r>
      <w:proofErr w:type="spellStart"/>
      <w:r>
        <w:rPr>
          <w:rFonts w:eastAsiaTheme="minorHAnsi"/>
          <w:color w:val="000000"/>
          <w:sz w:val="24"/>
          <w:szCs w:val="24"/>
        </w:rPr>
        <w:t>înregistrată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>
        <w:rPr>
          <w:rFonts w:eastAsiaTheme="minorHAnsi"/>
          <w:color w:val="000000"/>
          <w:sz w:val="24"/>
          <w:szCs w:val="24"/>
        </w:rPr>
        <w:t>Direcţia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Terenuri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Dotări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Diverse- </w:t>
      </w:r>
      <w:proofErr w:type="spellStart"/>
      <w:r>
        <w:rPr>
          <w:rFonts w:eastAsiaTheme="minorHAnsi"/>
          <w:color w:val="000000"/>
          <w:sz w:val="24"/>
          <w:szCs w:val="24"/>
        </w:rPr>
        <w:t>Compartimentul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către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 C.II.TÂRNOVEANU DOREL,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calitate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lichidator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desemnat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in </w:t>
      </w:r>
      <w:proofErr w:type="spellStart"/>
      <w:r>
        <w:rPr>
          <w:rFonts w:eastAsiaTheme="minorHAnsi"/>
          <w:color w:val="000000"/>
          <w:sz w:val="24"/>
          <w:szCs w:val="24"/>
        </w:rPr>
        <w:t>cadrul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procedurii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insolvenţă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deschisă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împotriva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SC.PAGO. SRL </w:t>
      </w:r>
      <w:proofErr w:type="spellStart"/>
      <w:r>
        <w:rPr>
          <w:rFonts w:eastAsiaTheme="minorHAnsi"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care </w:t>
      </w:r>
      <w:proofErr w:type="spellStart"/>
      <w:r>
        <w:rPr>
          <w:rFonts w:eastAsiaTheme="minorHAnsi"/>
          <w:color w:val="000000"/>
          <w:sz w:val="24"/>
          <w:szCs w:val="24"/>
        </w:rPr>
        <w:t>solicită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ca, </w:t>
      </w:r>
      <w:proofErr w:type="spellStart"/>
      <w:r>
        <w:rPr>
          <w:rFonts w:eastAsiaTheme="minorHAnsi"/>
          <w:color w:val="000000"/>
          <w:sz w:val="24"/>
          <w:szCs w:val="24"/>
        </w:rPr>
        <w:t>Primăria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Municipiului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se </w:t>
      </w:r>
      <w:proofErr w:type="spellStart"/>
      <w:r>
        <w:rPr>
          <w:rFonts w:eastAsiaTheme="minorHAnsi"/>
          <w:color w:val="000000"/>
          <w:sz w:val="24"/>
          <w:szCs w:val="24"/>
        </w:rPr>
        <w:t>pronunţe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asupra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dreptului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preemţiune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la </w:t>
      </w:r>
      <w:proofErr w:type="spellStart"/>
      <w:r>
        <w:rPr>
          <w:rFonts w:eastAsiaTheme="minorHAnsi"/>
          <w:color w:val="000000"/>
          <w:sz w:val="24"/>
          <w:szCs w:val="24"/>
        </w:rPr>
        <w:t>intenţia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înstrăinare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>
        <w:rPr>
          <w:rFonts w:eastAsiaTheme="minorHAnsi"/>
          <w:color w:val="000000"/>
          <w:sz w:val="24"/>
          <w:szCs w:val="24"/>
        </w:rPr>
        <w:t>Complexului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Comercial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strada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Varful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nr.3,identificat cu C.F nr.401222(</w:t>
      </w:r>
      <w:proofErr w:type="spellStart"/>
      <w:r>
        <w:rPr>
          <w:rFonts w:eastAsiaTheme="minorHAnsi"/>
          <w:color w:val="000000"/>
          <w:sz w:val="24"/>
          <w:szCs w:val="24"/>
        </w:rPr>
        <w:t>provenit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C.F </w:t>
      </w:r>
      <w:proofErr w:type="spellStart"/>
      <w:r>
        <w:rPr>
          <w:rFonts w:eastAsiaTheme="minorHAnsi"/>
          <w:color w:val="000000"/>
          <w:sz w:val="24"/>
          <w:szCs w:val="24"/>
        </w:rPr>
        <w:t>vechi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nr.2670) , nr.topo7096, la </w:t>
      </w:r>
      <w:proofErr w:type="spellStart"/>
      <w:r>
        <w:rPr>
          <w:rFonts w:eastAsiaTheme="minorHAnsi"/>
          <w:color w:val="000000"/>
          <w:sz w:val="24"/>
          <w:szCs w:val="24"/>
        </w:rPr>
        <w:t>preţul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310.000 euro.</w:t>
      </w:r>
    </w:p>
    <w:p w:rsidR="00615D8B" w:rsidRDefault="00615D8B" w:rsidP="00615D8B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Conform </w:t>
      </w:r>
      <w:proofErr w:type="spellStart"/>
      <w:r>
        <w:rPr>
          <w:rFonts w:eastAsiaTheme="minorHAnsi"/>
          <w:color w:val="000000"/>
          <w:sz w:val="24"/>
          <w:szCs w:val="24"/>
        </w:rPr>
        <w:t>adresei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menţionata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mai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sus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Complexul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Comercial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,</w:t>
      </w:r>
      <w:proofErr w:type="spellStart"/>
      <w:r>
        <w:rPr>
          <w:rFonts w:eastAsiaTheme="minorHAnsi"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strada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Varfu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nr.3,este </w:t>
      </w:r>
      <w:proofErr w:type="spellStart"/>
      <w:r>
        <w:rPr>
          <w:rFonts w:eastAsiaTheme="minorHAnsi"/>
          <w:color w:val="000000"/>
          <w:sz w:val="24"/>
          <w:szCs w:val="24"/>
        </w:rPr>
        <w:t>compus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subsol,parter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1etaj, are o </w:t>
      </w:r>
      <w:proofErr w:type="spellStart"/>
      <w:r>
        <w:rPr>
          <w:rFonts w:eastAsiaTheme="minorHAnsi"/>
          <w:color w:val="000000"/>
          <w:sz w:val="24"/>
          <w:szCs w:val="24"/>
        </w:rPr>
        <w:t>suprafaţa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utilă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 891,47 mp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teren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suprafaţă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502 mp, </w:t>
      </w:r>
      <w:proofErr w:type="spellStart"/>
      <w:r>
        <w:rPr>
          <w:rFonts w:eastAsiaTheme="minorHAnsi"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care </w:t>
      </w:r>
      <w:proofErr w:type="spellStart"/>
      <w:r>
        <w:rPr>
          <w:rFonts w:eastAsiaTheme="minorHAnsi"/>
          <w:color w:val="000000"/>
          <w:sz w:val="24"/>
          <w:szCs w:val="24"/>
        </w:rPr>
        <w:t>proprietarul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solicită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un </w:t>
      </w:r>
      <w:proofErr w:type="spellStart"/>
      <w:r>
        <w:rPr>
          <w:rFonts w:eastAsiaTheme="minorHAnsi"/>
          <w:color w:val="000000"/>
          <w:sz w:val="24"/>
          <w:szCs w:val="24"/>
        </w:rPr>
        <w:t>preţ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vânzare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310.000 euro, </w:t>
      </w:r>
      <w:proofErr w:type="spellStart"/>
      <w:r>
        <w:rPr>
          <w:rFonts w:eastAsiaTheme="minorHAnsi"/>
          <w:color w:val="000000"/>
          <w:sz w:val="24"/>
          <w:szCs w:val="24"/>
        </w:rPr>
        <w:t>respectiv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de 347,74 euro/mp.</w:t>
      </w:r>
    </w:p>
    <w:p w:rsidR="00615D8B" w:rsidRDefault="00615D8B" w:rsidP="00615D8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gramStart"/>
      <w:r>
        <w:rPr>
          <w:rFonts w:eastAsiaTheme="minorHAnsi"/>
          <w:color w:val="000000"/>
          <w:sz w:val="24"/>
          <w:szCs w:val="24"/>
        </w:rPr>
        <w:t xml:space="preserve">Din 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proofErr w:type="gramEnd"/>
      <w:r>
        <w:rPr>
          <w:rFonts w:eastAsiaTheme="minorHAnsi"/>
          <w:color w:val="000000"/>
          <w:sz w:val="24"/>
          <w:szCs w:val="24"/>
        </w:rPr>
        <w:t xml:space="preserve"> cu  nr. CT 2015-000716 din 12.02.2015 a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Urbanism-</w:t>
      </w: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Reabilitare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Conservare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Istorice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rezultă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Piaţa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Vârful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 </w:t>
      </w:r>
      <w:proofErr w:type="spellStart"/>
      <w:r>
        <w:rPr>
          <w:rFonts w:eastAsiaTheme="minorHAnsi"/>
          <w:color w:val="000000"/>
          <w:sz w:val="24"/>
          <w:szCs w:val="24"/>
        </w:rPr>
        <w:t>este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Situl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urban „Fabric” (I), </w:t>
      </w:r>
      <w:proofErr w:type="spellStart"/>
      <w:r>
        <w:rPr>
          <w:rFonts w:eastAsiaTheme="minorHAnsi"/>
          <w:color w:val="000000"/>
          <w:sz w:val="24"/>
          <w:szCs w:val="24"/>
        </w:rPr>
        <w:t>poz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. 61 cod TM-II-s-B-06096 din </w:t>
      </w:r>
      <w:proofErr w:type="spellStart"/>
      <w:r>
        <w:rPr>
          <w:rFonts w:eastAsiaTheme="minorHAnsi"/>
          <w:color w:val="000000"/>
          <w:sz w:val="24"/>
          <w:szCs w:val="24"/>
        </w:rPr>
        <w:t>Lista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Istorice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– 2010, </w:t>
      </w:r>
      <w:proofErr w:type="spellStart"/>
      <w:r>
        <w:rPr>
          <w:rFonts w:eastAsiaTheme="minorHAnsi"/>
          <w:color w:val="000000"/>
          <w:sz w:val="24"/>
          <w:szCs w:val="24"/>
        </w:rPr>
        <w:t>jud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eastAsiaTheme="minorHAnsi"/>
          <w:color w:val="000000"/>
          <w:sz w:val="24"/>
          <w:szCs w:val="24"/>
        </w:rPr>
        <w:t>Timiş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</w:t>
      </w:r>
    </w:p>
    <w:p w:rsidR="00615D8B" w:rsidRDefault="00615D8B" w:rsidP="00615D8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proofErr w:type="gramStart"/>
      <w:r>
        <w:rPr>
          <w:rFonts w:eastAsiaTheme="minorHAnsi"/>
          <w:color w:val="000000"/>
          <w:sz w:val="24"/>
          <w:szCs w:val="24"/>
        </w:rPr>
        <w:t>Starea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fizică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>
        <w:rPr>
          <w:rFonts w:eastAsiaTheme="minorHAnsi"/>
          <w:color w:val="000000"/>
          <w:sz w:val="24"/>
          <w:szCs w:val="24"/>
        </w:rPr>
        <w:t>clădirii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impune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lucrări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ample de </w:t>
      </w:r>
      <w:proofErr w:type="spellStart"/>
      <w:r>
        <w:rPr>
          <w:rFonts w:eastAsiaTheme="minorHAnsi"/>
          <w:color w:val="000000"/>
          <w:sz w:val="24"/>
          <w:szCs w:val="24"/>
        </w:rPr>
        <w:t>reabilitare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recondiţionare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vederea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utilizării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condiţii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optime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  <w:proofErr w:type="gramEnd"/>
    </w:p>
    <w:p w:rsidR="00615D8B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Conform </w:t>
      </w:r>
      <w:proofErr w:type="spellStart"/>
      <w:r>
        <w:rPr>
          <w:rFonts w:eastAsiaTheme="minorHAnsi"/>
          <w:color w:val="000000"/>
          <w:sz w:val="24"/>
          <w:szCs w:val="24"/>
        </w:rPr>
        <w:t>adresei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nr.385  din 11.02.2015, a 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Judeţene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Cultură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color w:val="000000"/>
          <w:sz w:val="24"/>
          <w:szCs w:val="24"/>
        </w:rPr>
        <w:t>Timiş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rezultă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aceasta</w:t>
      </w:r>
      <w:proofErr w:type="spellEnd"/>
      <w:r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>
        <w:rPr>
          <w:rFonts w:eastAsiaTheme="minorHAnsi"/>
          <w:color w:val="000000"/>
          <w:sz w:val="24"/>
          <w:szCs w:val="24"/>
        </w:rPr>
        <w:t xml:space="preserve">nu </w:t>
      </w:r>
      <w:proofErr w:type="spellStart"/>
      <w:r>
        <w:rPr>
          <w:rFonts w:eastAsiaTheme="minorHAnsi"/>
          <w:color w:val="000000"/>
          <w:sz w:val="24"/>
          <w:szCs w:val="24"/>
        </w:rPr>
        <w:t>îşi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exercită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dreptul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preemţiune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asupra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Complexului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Comercial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, </w:t>
      </w:r>
      <w:proofErr w:type="spellStart"/>
      <w:r>
        <w:rPr>
          <w:rFonts w:eastAsiaTheme="minorHAnsi"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strada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Varful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nr.3, </w:t>
      </w:r>
      <w:proofErr w:type="spellStart"/>
      <w:r>
        <w:rPr>
          <w:rFonts w:eastAsiaTheme="minorHAnsi"/>
          <w:color w:val="000000"/>
          <w:sz w:val="24"/>
          <w:szCs w:val="24"/>
        </w:rPr>
        <w:t>imobil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inclus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situl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urban ,,Fabric(I) ,</w:t>
      </w:r>
      <w:proofErr w:type="spellStart"/>
      <w:r>
        <w:rPr>
          <w:rFonts w:eastAsiaTheme="minorHAnsi"/>
          <w:color w:val="000000"/>
          <w:sz w:val="24"/>
          <w:szCs w:val="24"/>
        </w:rPr>
        <w:t>poziţia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.61, COD TM-II-s-B-06096  , in </w:t>
      </w:r>
      <w:proofErr w:type="spellStart"/>
      <w:r>
        <w:rPr>
          <w:rFonts w:eastAsiaTheme="minorHAnsi"/>
          <w:color w:val="000000"/>
          <w:sz w:val="24"/>
          <w:szCs w:val="24"/>
        </w:rPr>
        <w:t>Lista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Istorice-2010, </w:t>
      </w:r>
      <w:proofErr w:type="spellStart"/>
      <w:r>
        <w:rPr>
          <w:rFonts w:eastAsiaTheme="minorHAnsi"/>
          <w:color w:val="000000"/>
          <w:sz w:val="24"/>
          <w:szCs w:val="24"/>
        </w:rPr>
        <w:t>judeţul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</w:p>
    <w:p w:rsidR="00615D8B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  <w:proofErr w:type="gramStart"/>
      <w:r>
        <w:rPr>
          <w:rFonts w:eastAsiaTheme="minorHAnsi"/>
          <w:color w:val="000000"/>
          <w:sz w:val="24"/>
          <w:szCs w:val="24"/>
        </w:rPr>
        <w:t xml:space="preserve">Din  </w:t>
      </w:r>
      <w:proofErr w:type="spellStart"/>
      <w:r>
        <w:rPr>
          <w:rFonts w:eastAsiaTheme="minorHAnsi"/>
          <w:color w:val="000000"/>
          <w:sz w:val="24"/>
          <w:szCs w:val="24"/>
        </w:rPr>
        <w:t>răspunsul</w:t>
      </w:r>
      <w:proofErr w:type="spellEnd"/>
      <w:proofErr w:type="gram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primit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la </w:t>
      </w: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Valorificare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Spaţii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altă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destinaţie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cadrul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CT2015-000859/13.02.2015, </w:t>
      </w:r>
      <w:proofErr w:type="spellStart"/>
      <w:r>
        <w:rPr>
          <w:rFonts w:eastAsiaTheme="minorHAnsi"/>
          <w:color w:val="000000"/>
          <w:sz w:val="24"/>
          <w:szCs w:val="24"/>
        </w:rPr>
        <w:t>rezultă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strada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Varful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nr.3 nu </w:t>
      </w:r>
      <w:proofErr w:type="spellStart"/>
      <w:r>
        <w:rPr>
          <w:rFonts w:eastAsiaTheme="minorHAnsi"/>
          <w:color w:val="000000"/>
          <w:sz w:val="24"/>
          <w:szCs w:val="24"/>
        </w:rPr>
        <w:t>prezintă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interes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domeniul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public/</w:t>
      </w:r>
      <w:proofErr w:type="spellStart"/>
      <w:r>
        <w:rPr>
          <w:rFonts w:eastAsiaTheme="minorHAnsi"/>
          <w:color w:val="000000"/>
          <w:sz w:val="24"/>
          <w:szCs w:val="24"/>
        </w:rPr>
        <w:t>privat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al </w:t>
      </w:r>
      <w:proofErr w:type="spellStart"/>
      <w:r>
        <w:rPr>
          <w:rFonts w:eastAsiaTheme="minorHAnsi"/>
          <w:color w:val="000000"/>
          <w:sz w:val="24"/>
          <w:szCs w:val="24"/>
        </w:rPr>
        <w:t>Municipiului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Timişoara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</w:p>
    <w:p w:rsidR="00615D8B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Din </w:t>
      </w:r>
      <w:proofErr w:type="spellStart"/>
      <w:r>
        <w:rPr>
          <w:rFonts w:eastAsiaTheme="minorHAnsi"/>
          <w:color w:val="000000"/>
          <w:sz w:val="24"/>
          <w:szCs w:val="24"/>
        </w:rPr>
        <w:t>răspunsul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la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noastră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nr.CM2015-000859 din 17.02.2015, </w:t>
      </w:r>
      <w:proofErr w:type="spellStart"/>
      <w:r>
        <w:rPr>
          <w:rFonts w:eastAsiaTheme="minorHAnsi"/>
          <w:color w:val="000000"/>
          <w:sz w:val="24"/>
          <w:szCs w:val="24"/>
        </w:rPr>
        <w:t>Direcţia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Instituţii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Şcolare,Medicale,Sportive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Culturale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ne </w:t>
      </w:r>
      <w:proofErr w:type="spellStart"/>
      <w:r>
        <w:rPr>
          <w:rFonts w:eastAsiaTheme="minorHAnsi"/>
          <w:color w:val="000000"/>
          <w:sz w:val="24"/>
          <w:szCs w:val="24"/>
        </w:rPr>
        <w:t>comunică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faptul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Complex </w:t>
      </w:r>
      <w:proofErr w:type="spellStart"/>
      <w:r>
        <w:rPr>
          <w:rFonts w:eastAsiaTheme="minorHAnsi"/>
          <w:color w:val="000000"/>
          <w:sz w:val="24"/>
          <w:szCs w:val="24"/>
        </w:rPr>
        <w:t>Comercial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la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menţionată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eastAsiaTheme="minorHAnsi"/>
          <w:color w:val="000000"/>
          <w:sz w:val="24"/>
          <w:szCs w:val="24"/>
        </w:rPr>
        <w:t>mai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sus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nu </w:t>
      </w:r>
      <w:proofErr w:type="spellStart"/>
      <w:r>
        <w:rPr>
          <w:rFonts w:eastAsiaTheme="minorHAnsi"/>
          <w:color w:val="000000"/>
          <w:sz w:val="24"/>
          <w:szCs w:val="24"/>
        </w:rPr>
        <w:t>prezintă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interes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desfăşurarea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unor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activităţi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interes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public(</w:t>
      </w:r>
      <w:proofErr w:type="spellStart"/>
      <w:r>
        <w:rPr>
          <w:rFonts w:eastAsiaTheme="minorHAnsi"/>
          <w:color w:val="000000"/>
          <w:sz w:val="24"/>
          <w:szCs w:val="24"/>
        </w:rPr>
        <w:t>sănătate,învăţământ,cultură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) </w:t>
      </w:r>
      <w:proofErr w:type="spellStart"/>
      <w:r>
        <w:rPr>
          <w:rFonts w:eastAsiaTheme="minorHAnsi"/>
          <w:color w:val="000000"/>
          <w:sz w:val="24"/>
          <w:szCs w:val="24"/>
        </w:rPr>
        <w:t>ce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aparţin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direcţie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</w:p>
    <w:p w:rsidR="00234D5A" w:rsidRDefault="00615D8B" w:rsidP="00234D5A">
      <w:pPr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Biroul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Locuinţe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din </w:t>
      </w:r>
      <w:proofErr w:type="spellStart"/>
      <w:r>
        <w:rPr>
          <w:rFonts w:eastAsiaTheme="minorHAnsi"/>
          <w:color w:val="000000"/>
          <w:sz w:val="24"/>
          <w:szCs w:val="24"/>
        </w:rPr>
        <w:t>cadrul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Direcţiei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Clădiri</w:t>
      </w:r>
      <w:proofErr w:type="gramStart"/>
      <w:r>
        <w:rPr>
          <w:rFonts w:eastAsiaTheme="minorHAnsi"/>
          <w:color w:val="000000"/>
          <w:sz w:val="24"/>
          <w:szCs w:val="24"/>
        </w:rPr>
        <w:t>,Terenuri</w:t>
      </w:r>
      <w:proofErr w:type="spellEnd"/>
      <w:proofErr w:type="gram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Dotări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Diverse, </w:t>
      </w:r>
      <w:proofErr w:type="spellStart"/>
      <w:r>
        <w:rPr>
          <w:rFonts w:eastAsiaTheme="minorHAnsi"/>
          <w:color w:val="000000"/>
          <w:sz w:val="24"/>
          <w:szCs w:val="24"/>
        </w:rPr>
        <w:t>prin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adresa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nr.CT2015-000859/16.02.2015, ne </w:t>
      </w:r>
      <w:proofErr w:type="spellStart"/>
      <w:r>
        <w:rPr>
          <w:rFonts w:eastAsiaTheme="minorHAnsi"/>
          <w:color w:val="000000"/>
          <w:sz w:val="24"/>
          <w:szCs w:val="24"/>
        </w:rPr>
        <w:t>transmite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acest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imobil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nu are </w:t>
      </w:r>
      <w:proofErr w:type="spellStart"/>
      <w:r>
        <w:rPr>
          <w:rFonts w:eastAsiaTheme="minorHAnsi"/>
          <w:color w:val="000000"/>
          <w:sz w:val="24"/>
          <w:szCs w:val="24"/>
        </w:rPr>
        <w:t>funcţiunea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spatii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</w:rPr>
        <w:t>destinaţia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 </w:t>
      </w:r>
      <w:proofErr w:type="spellStart"/>
      <w:r>
        <w:rPr>
          <w:rFonts w:eastAsiaTheme="minorHAnsi"/>
          <w:color w:val="000000"/>
          <w:sz w:val="24"/>
          <w:szCs w:val="24"/>
        </w:rPr>
        <w:t>locuinţă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>
        <w:rPr>
          <w:rFonts w:eastAsiaTheme="minorHAnsi"/>
          <w:color w:val="000000"/>
          <w:sz w:val="24"/>
          <w:szCs w:val="24"/>
        </w:rPr>
        <w:tab/>
      </w:r>
      <w:r w:rsidR="00234D5A" w:rsidRPr="00234D5A">
        <w:rPr>
          <w:sz w:val="24"/>
          <w:szCs w:val="24"/>
          <w:lang w:val="ro-RO"/>
        </w:rPr>
        <w:t xml:space="preserve"> </w:t>
      </w:r>
      <w:r w:rsidR="00234D5A">
        <w:rPr>
          <w:sz w:val="24"/>
          <w:szCs w:val="24"/>
          <w:lang w:val="ro-RO"/>
        </w:rPr>
        <w:t>Cod FO 53-01,ver.2</w:t>
      </w:r>
    </w:p>
    <w:p w:rsidR="00615D8B" w:rsidRDefault="00615D8B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</w:p>
    <w:p w:rsidR="00234D5A" w:rsidRDefault="00234D5A" w:rsidP="00615D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</w:rPr>
      </w:pPr>
    </w:p>
    <w:p w:rsidR="005C4E7A" w:rsidRPr="00147394" w:rsidRDefault="00615D8B" w:rsidP="00615D8B">
      <w:pPr>
        <w:jc w:val="both"/>
        <w:rPr>
          <w:b/>
          <w:sz w:val="24"/>
          <w:szCs w:val="24"/>
          <w:lang w:val="ro-RO"/>
        </w:rPr>
      </w:pPr>
      <w:proofErr w:type="spellStart"/>
      <w:r>
        <w:rPr>
          <w:rFonts w:eastAsiaTheme="minorHAnsi"/>
          <w:color w:val="000000"/>
          <w:sz w:val="24"/>
          <w:szCs w:val="24"/>
        </w:rPr>
        <w:t>Ţinând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cont </w:t>
      </w:r>
      <w:proofErr w:type="gramStart"/>
      <w:r>
        <w:rPr>
          <w:rFonts w:eastAsiaTheme="minorHAnsi"/>
          <w:color w:val="000000"/>
          <w:sz w:val="24"/>
          <w:szCs w:val="24"/>
        </w:rPr>
        <w:t>de  art.4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, alin.4 din </w:t>
      </w:r>
      <w:proofErr w:type="spellStart"/>
      <w:r>
        <w:rPr>
          <w:rFonts w:eastAsiaTheme="minorHAnsi"/>
          <w:color w:val="000000"/>
          <w:sz w:val="24"/>
          <w:szCs w:val="24"/>
        </w:rPr>
        <w:t>Legea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nr.422/2001,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 de </w:t>
      </w:r>
      <w:proofErr w:type="spellStart"/>
      <w:r>
        <w:rPr>
          <w:rFonts w:eastAsiaTheme="minorHAnsi"/>
          <w:color w:val="000000"/>
          <w:sz w:val="24"/>
          <w:szCs w:val="24"/>
        </w:rPr>
        <w:t>Legea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nr 259/2006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protejarea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monumentelor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istorice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</w:p>
    <w:p w:rsidR="008F7EFE" w:rsidRDefault="00592439" w:rsidP="008F7EF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 conformitate cu  art.4,alin.(4), art.9 din Legea nr.422/2001 privind protejarea monumentelor istorice </w:t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  <w:r w:rsidR="008F7EFE">
        <w:rPr>
          <w:sz w:val="24"/>
          <w:szCs w:val="24"/>
          <w:lang w:val="ro-RO"/>
        </w:rPr>
        <w:tab/>
      </w:r>
    </w:p>
    <w:p w:rsidR="00592439" w:rsidRPr="00147394" w:rsidRDefault="008F7EFE" w:rsidP="00592439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</w:t>
      </w:r>
      <w:r w:rsidRPr="008F7EFE">
        <w:rPr>
          <w:sz w:val="24"/>
          <w:szCs w:val="24"/>
          <w:lang w:val="ro-RO"/>
        </w:rPr>
        <w:t xml:space="preserve"> </w:t>
      </w:r>
      <w:r w:rsidR="00592439" w:rsidRPr="00147394">
        <w:rPr>
          <w:sz w:val="24"/>
          <w:szCs w:val="24"/>
          <w:lang w:val="ro-RO"/>
        </w:rPr>
        <w:t xml:space="preserve"> prevederile art.2, din Hotărârea nr.67/26.02.2008 a Consiliului Local al Municipiului Timişoara;</w:t>
      </w:r>
    </w:p>
    <w:p w:rsidR="00592439" w:rsidRDefault="00592439" w:rsidP="00592439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In conformitate cu art.36,alin (1) şi alin (9) din Legea nr.215/2001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administraţia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publica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592439" w:rsidRPr="00147394" w:rsidRDefault="00592439" w:rsidP="00592439">
      <w:pPr>
        <w:pStyle w:val="BlockText"/>
        <w:ind w:left="0" w:right="-25"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592439" w:rsidRPr="00147394" w:rsidRDefault="00592439" w:rsidP="00592439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</w:t>
      </w:r>
      <w:r w:rsidRPr="00147394">
        <w:rPr>
          <w:b/>
          <w:sz w:val="24"/>
          <w:szCs w:val="24"/>
          <w:lang w:val="ro-RO"/>
        </w:rPr>
        <w:t xml:space="preserve">            PROPUNE:</w:t>
      </w:r>
    </w:p>
    <w:p w:rsidR="00592439" w:rsidRPr="00147394" w:rsidRDefault="00592439" w:rsidP="00592439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592439" w:rsidRPr="00147394" w:rsidRDefault="00592439" w:rsidP="00592439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Pr="00147394">
        <w:rPr>
          <w:b/>
          <w:sz w:val="24"/>
          <w:szCs w:val="24"/>
          <w:lang w:val="ro-RO"/>
        </w:rPr>
        <w:t xml:space="preserve">            </w:t>
      </w:r>
    </w:p>
    <w:p w:rsidR="0056422C" w:rsidRPr="00234D5A" w:rsidRDefault="00592439" w:rsidP="0056422C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Emiterea unei Hotărâri , prin care Consiliul Local  al Municipiului Timişoara, nu îşi exercită </w:t>
      </w:r>
      <w:r w:rsidRPr="00147394">
        <w:rPr>
          <w:sz w:val="24"/>
          <w:szCs w:val="24"/>
          <w:lang w:val="ro-RO"/>
        </w:rPr>
        <w:t xml:space="preserve"> dreptul</w:t>
      </w:r>
      <w:r>
        <w:rPr>
          <w:sz w:val="24"/>
          <w:szCs w:val="24"/>
          <w:lang w:val="ro-RO"/>
        </w:rPr>
        <w:t xml:space="preserve"> </w:t>
      </w:r>
      <w:r w:rsidRPr="00147394">
        <w:rPr>
          <w:sz w:val="24"/>
          <w:szCs w:val="24"/>
          <w:lang w:val="ro-RO"/>
        </w:rPr>
        <w:t xml:space="preserve"> de preemţiune privitor la cumpărarea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Complexului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Comercial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 ,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situat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în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strada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Varful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cu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Dor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nr.3,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identificat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cu C.F nr. 401222(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provenit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din C.F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vechi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nr.2670</w:t>
      </w:r>
      <w:proofErr w:type="gramStart"/>
      <w:r w:rsidR="0056422C" w:rsidRPr="00234D5A">
        <w:rPr>
          <w:rFonts w:eastAsiaTheme="minorHAnsi"/>
          <w:bCs/>
          <w:color w:val="000000"/>
          <w:sz w:val="24"/>
          <w:szCs w:val="24"/>
        </w:rPr>
        <w:t>) ,</w:t>
      </w:r>
      <w:proofErr w:type="gram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nr.topo7096, la </w:t>
      </w:r>
      <w:proofErr w:type="spellStart"/>
      <w:r w:rsidR="0056422C" w:rsidRPr="00234D5A">
        <w:rPr>
          <w:rFonts w:eastAsiaTheme="minorHAnsi"/>
          <w:bCs/>
          <w:color w:val="000000"/>
          <w:sz w:val="24"/>
          <w:szCs w:val="24"/>
        </w:rPr>
        <w:t>preţul</w:t>
      </w:r>
      <w:proofErr w:type="spellEnd"/>
      <w:r w:rsidR="0056422C" w:rsidRPr="00234D5A">
        <w:rPr>
          <w:rFonts w:eastAsiaTheme="minorHAnsi"/>
          <w:bCs/>
          <w:color w:val="000000"/>
          <w:sz w:val="24"/>
          <w:szCs w:val="24"/>
        </w:rPr>
        <w:t xml:space="preserve"> de 310.000 euro.</w:t>
      </w:r>
    </w:p>
    <w:p w:rsidR="00592439" w:rsidRDefault="00592439" w:rsidP="0056422C">
      <w:pPr>
        <w:ind w:firstLine="708"/>
        <w:jc w:val="both"/>
        <w:rPr>
          <w:sz w:val="24"/>
          <w:szCs w:val="24"/>
        </w:rPr>
      </w:pPr>
    </w:p>
    <w:p w:rsidR="00592439" w:rsidRPr="00147394" w:rsidRDefault="00592439" w:rsidP="00592439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</w:t>
      </w:r>
    </w:p>
    <w:p w:rsidR="00592439" w:rsidRPr="00147394" w:rsidRDefault="00592439" w:rsidP="00592439">
      <w:pPr>
        <w:rPr>
          <w:sz w:val="24"/>
          <w:szCs w:val="24"/>
          <w:lang w:val="ro-RO"/>
        </w:rPr>
      </w:pPr>
    </w:p>
    <w:p w:rsidR="00592439" w:rsidRPr="00147394" w:rsidRDefault="00592439" w:rsidP="00592439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063A7B">
        <w:rPr>
          <w:b/>
          <w:sz w:val="24"/>
          <w:szCs w:val="24"/>
        </w:rPr>
        <w:t>ADMINISTRATOR PUBLIC</w:t>
      </w:r>
      <w:r w:rsidRPr="00147394">
        <w:rPr>
          <w:b/>
          <w:sz w:val="24"/>
          <w:szCs w:val="24"/>
        </w:rPr>
        <w:t xml:space="preserve">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 SECRETAR,</w:t>
      </w:r>
    </w:p>
    <w:p w:rsidR="00592439" w:rsidRPr="00147394" w:rsidRDefault="00063A7B" w:rsidP="00592439">
      <w:pPr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Sorin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Iacob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Dragoi</w:t>
      </w:r>
      <w:proofErr w:type="spellEnd"/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 w:rsidRPr="00147394">
        <w:rPr>
          <w:b/>
          <w:sz w:val="24"/>
          <w:szCs w:val="24"/>
        </w:rPr>
        <w:tab/>
      </w:r>
      <w:r w:rsidR="00592439">
        <w:rPr>
          <w:b/>
          <w:sz w:val="24"/>
          <w:szCs w:val="24"/>
        </w:rPr>
        <w:t xml:space="preserve">  </w:t>
      </w:r>
      <w:r w:rsidR="00592439" w:rsidRPr="00147394">
        <w:rPr>
          <w:b/>
          <w:sz w:val="24"/>
          <w:szCs w:val="24"/>
        </w:rPr>
        <w:t xml:space="preserve">  </w:t>
      </w:r>
      <w:proofErr w:type="spellStart"/>
      <w:r w:rsidR="00592439">
        <w:rPr>
          <w:b/>
          <w:sz w:val="24"/>
          <w:szCs w:val="24"/>
        </w:rPr>
        <w:t>Ioan</w:t>
      </w:r>
      <w:proofErr w:type="spellEnd"/>
      <w:r w:rsidR="00592439">
        <w:rPr>
          <w:b/>
          <w:sz w:val="24"/>
          <w:szCs w:val="24"/>
        </w:rPr>
        <w:t xml:space="preserve"> </w:t>
      </w:r>
      <w:proofErr w:type="spellStart"/>
      <w:r w:rsidR="00592439">
        <w:rPr>
          <w:b/>
          <w:sz w:val="24"/>
          <w:szCs w:val="24"/>
        </w:rPr>
        <w:t>Cojocari</w:t>
      </w:r>
      <w:proofErr w:type="spellEnd"/>
    </w:p>
    <w:p w:rsidR="00592439" w:rsidRPr="00147394" w:rsidRDefault="00592439" w:rsidP="00592439">
      <w:pPr>
        <w:ind w:right="-135"/>
        <w:rPr>
          <w:b/>
          <w:sz w:val="24"/>
          <w:szCs w:val="24"/>
        </w:rPr>
      </w:pP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592439" w:rsidRPr="00147394" w:rsidRDefault="00063A7B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D.I.S.M.S.C</w:t>
      </w:r>
    </w:p>
    <w:p w:rsidR="00063A7B" w:rsidRPr="00147394" w:rsidRDefault="00592439" w:rsidP="00063A7B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proofErr w:type="spellStart"/>
      <w:proofErr w:type="gramStart"/>
      <w:r w:rsidR="00063A7B">
        <w:rPr>
          <w:b/>
          <w:sz w:val="24"/>
          <w:szCs w:val="24"/>
        </w:rPr>
        <w:t>Mihai</w:t>
      </w:r>
      <w:proofErr w:type="spellEnd"/>
      <w:r w:rsidR="00063A7B">
        <w:rPr>
          <w:b/>
          <w:sz w:val="24"/>
          <w:szCs w:val="24"/>
        </w:rPr>
        <w:t xml:space="preserve">  Costa</w:t>
      </w:r>
      <w:proofErr w:type="gram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592439" w:rsidRDefault="00063A7B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AA1082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6422C">
        <w:rPr>
          <w:b/>
          <w:sz w:val="24"/>
          <w:szCs w:val="24"/>
        </w:rPr>
        <w:t xml:space="preserve">Laura </w:t>
      </w:r>
      <w:proofErr w:type="spellStart"/>
      <w:r w:rsidR="0056422C">
        <w:rPr>
          <w:b/>
          <w:sz w:val="24"/>
          <w:szCs w:val="24"/>
        </w:rPr>
        <w:t>Kosz</w:t>
      </w:r>
      <w:r w:rsidR="00063A7B">
        <w:rPr>
          <w:b/>
          <w:sz w:val="24"/>
          <w:szCs w:val="24"/>
        </w:rPr>
        <w:t>egi</w:t>
      </w:r>
      <w:proofErr w:type="spellEnd"/>
      <w:r w:rsidR="00063A7B">
        <w:rPr>
          <w:b/>
          <w:sz w:val="24"/>
          <w:szCs w:val="24"/>
        </w:rPr>
        <w:t xml:space="preserve"> </w:t>
      </w:r>
      <w:proofErr w:type="spellStart"/>
      <w:r w:rsidR="00063A7B">
        <w:rPr>
          <w:b/>
          <w:sz w:val="24"/>
          <w:szCs w:val="24"/>
        </w:rPr>
        <w:t>Stoianov</w:t>
      </w:r>
      <w:proofErr w:type="spellEnd"/>
      <w:r>
        <w:rPr>
          <w:b/>
          <w:sz w:val="24"/>
          <w:szCs w:val="24"/>
        </w:rPr>
        <w:tab/>
      </w: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AA1082" w:rsidRDefault="00AA1082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CONSILIER,</w:t>
      </w:r>
    </w:p>
    <w:p w:rsidR="00AA1082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AA1082">
        <w:rPr>
          <w:b/>
          <w:sz w:val="24"/>
          <w:szCs w:val="24"/>
        </w:rPr>
        <w:t>Luminita</w:t>
      </w:r>
      <w:proofErr w:type="spellEnd"/>
      <w:r w:rsidR="00AA1082">
        <w:rPr>
          <w:b/>
          <w:sz w:val="24"/>
          <w:szCs w:val="24"/>
        </w:rPr>
        <w:t xml:space="preserve"> </w:t>
      </w:r>
      <w:proofErr w:type="spellStart"/>
      <w:r w:rsidR="00AA1082">
        <w:rPr>
          <w:b/>
          <w:sz w:val="24"/>
          <w:szCs w:val="24"/>
        </w:rPr>
        <w:t>Mirica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92439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2439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592439" w:rsidRPr="00147394" w:rsidRDefault="00592439" w:rsidP="00592439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592439" w:rsidRPr="00147394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592439" w:rsidRDefault="00592439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5D4C8C" w:rsidRDefault="005D4C8C" w:rsidP="00592439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592439" w:rsidRPr="00F7323E" w:rsidRDefault="00592439" w:rsidP="00592439">
      <w:pPr>
        <w:autoSpaceDE w:val="0"/>
        <w:autoSpaceDN w:val="0"/>
        <w:adjustRightInd w:val="0"/>
        <w:ind w:right="-135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</w:t>
      </w:r>
      <w:r w:rsidRPr="00147394">
        <w:rPr>
          <w:sz w:val="24"/>
          <w:szCs w:val="24"/>
        </w:rPr>
        <w:t>od FO 53-01, ver.2</w:t>
      </w:r>
    </w:p>
    <w:p w:rsidR="006B3571" w:rsidRDefault="006B3571"/>
    <w:sectPr w:rsidR="006B3571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439"/>
    <w:rsid w:val="000443BC"/>
    <w:rsid w:val="00054FA3"/>
    <w:rsid w:val="00063A7B"/>
    <w:rsid w:val="002056D4"/>
    <w:rsid w:val="00234D5A"/>
    <w:rsid w:val="002C532C"/>
    <w:rsid w:val="00392D38"/>
    <w:rsid w:val="004465B9"/>
    <w:rsid w:val="0056422C"/>
    <w:rsid w:val="0058212C"/>
    <w:rsid w:val="00592439"/>
    <w:rsid w:val="005C4E7A"/>
    <w:rsid w:val="005D4C8C"/>
    <w:rsid w:val="005D69B2"/>
    <w:rsid w:val="00615D8B"/>
    <w:rsid w:val="006B3571"/>
    <w:rsid w:val="00725A30"/>
    <w:rsid w:val="00796D8C"/>
    <w:rsid w:val="0081053B"/>
    <w:rsid w:val="0083283D"/>
    <w:rsid w:val="008E098B"/>
    <w:rsid w:val="008F7EFE"/>
    <w:rsid w:val="009E7F32"/>
    <w:rsid w:val="00AA1082"/>
    <w:rsid w:val="00AA783F"/>
    <w:rsid w:val="00BC7B4F"/>
    <w:rsid w:val="00BC7B9D"/>
    <w:rsid w:val="00C22F1C"/>
    <w:rsid w:val="00C57403"/>
    <w:rsid w:val="00E6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2439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43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592439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592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4</cp:revision>
  <dcterms:created xsi:type="dcterms:W3CDTF">2015-02-19T07:45:00Z</dcterms:created>
  <dcterms:modified xsi:type="dcterms:W3CDTF">2015-02-19T07:50:00Z</dcterms:modified>
</cp:coreProperties>
</file>