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commentsExtended.xml" ContentType="application/vnd.openxmlformats-officedocument.wordprocessingml.commentsExtended+xml"/>
  <Override PartName="/word/webSettings.xml" ContentType="application/vnd.openxmlformats-officedocument.wordprocessingml.webSettings+xml"/>
  <Override PartName="/docProps/core.xml" ContentType="application/vnd.openxmlformats-package.core-properties+xml"/>
  <Override PartName="/word/people.xml" ContentType="application/vnd.openxmlformats-officedocument.wordprocessingml.people+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w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05577"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ROMÂNIA </w:t>
      </w:r>
    </w:p>
    <w:p w:rsidR="00F05577"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JUDETUL TIMIŞ </w:t>
      </w:r>
    </w:p>
    <w:p w:rsidR="00F05577"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MUNICIPIUL TIMISOARA </w:t>
      </w:r>
    </w:p>
    <w:p w:rsidR="00F05577"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CONSILIUL LOCAL </w:t>
      </w:r>
    </w:p>
    <w:p w:rsidR="00621D6C" w:rsidRPr="00DC006F" w:rsidRDefault="00F05577" w:rsidP="00F05577">
      <w:pPr>
        <w:spacing w:after="0" w:line="240" w:lineRule="auto"/>
        <w:rPr>
          <w:rFonts w:ascii="Times New Roman" w:hAnsi="Times New Roman" w:cs="Times New Roman"/>
          <w:b/>
          <w:sz w:val="24"/>
          <w:szCs w:val="24"/>
        </w:rPr>
      </w:pPr>
      <w:r w:rsidRPr="00DC006F">
        <w:rPr>
          <w:rFonts w:ascii="Times New Roman" w:hAnsi="Times New Roman" w:cs="Times New Roman"/>
          <w:b/>
          <w:sz w:val="24"/>
          <w:szCs w:val="24"/>
        </w:rPr>
        <w:t xml:space="preserve">NR. </w:t>
      </w:r>
      <w:r w:rsidR="006D0052">
        <w:rPr>
          <w:rFonts w:ascii="Times New Roman" w:hAnsi="Times New Roman" w:cs="Times New Roman"/>
          <w:b/>
          <w:sz w:val="24"/>
          <w:szCs w:val="24"/>
        </w:rPr>
        <w:t>SC2022-17074/08.07.2022</w:t>
      </w:r>
    </w:p>
    <w:p w:rsidR="00DC006F" w:rsidRDefault="00DC006F" w:rsidP="00F05577">
      <w:pPr>
        <w:spacing w:after="0" w:line="240" w:lineRule="auto"/>
        <w:rPr>
          <w:rFonts w:ascii="Times New Roman" w:hAnsi="Times New Roman" w:cs="Times New Roman"/>
          <w:sz w:val="24"/>
          <w:szCs w:val="24"/>
        </w:rPr>
      </w:pPr>
    </w:p>
    <w:p w:rsidR="00E33C7E" w:rsidRDefault="00E33C7E" w:rsidP="00F05577">
      <w:pPr>
        <w:spacing w:after="0" w:line="240" w:lineRule="auto"/>
        <w:rPr>
          <w:rFonts w:ascii="Times New Roman" w:hAnsi="Times New Roman" w:cs="Times New Roman"/>
          <w:sz w:val="24"/>
          <w:szCs w:val="24"/>
        </w:rPr>
      </w:pPr>
    </w:p>
    <w:p w:rsidR="00F05577" w:rsidRPr="00DC006F" w:rsidRDefault="00F05577" w:rsidP="00DC006F">
      <w:pPr>
        <w:pStyle w:val="NoSpacing"/>
        <w:jc w:val="center"/>
        <w:rPr>
          <w:rFonts w:ascii="Times New Roman" w:hAnsi="Times New Roman"/>
          <w:b/>
          <w:sz w:val="24"/>
          <w:szCs w:val="24"/>
        </w:rPr>
      </w:pPr>
      <w:r w:rsidRPr="00DC006F">
        <w:rPr>
          <w:rFonts w:ascii="Times New Roman" w:hAnsi="Times New Roman"/>
          <w:b/>
          <w:sz w:val="24"/>
          <w:szCs w:val="24"/>
        </w:rPr>
        <w:t>REFERAT DE APROBARE A PROIECTULUI DE HOTĂRÂRE</w:t>
      </w:r>
    </w:p>
    <w:p w:rsidR="006D0052" w:rsidRPr="006D0052" w:rsidRDefault="006D0052" w:rsidP="006D0052">
      <w:pPr>
        <w:spacing w:after="0" w:line="240" w:lineRule="auto"/>
        <w:jc w:val="center"/>
        <w:rPr>
          <w:rFonts w:ascii="Times New Roman" w:hAnsi="Times New Roman" w:cs="Times New Roman"/>
          <w:sz w:val="24"/>
          <w:szCs w:val="24"/>
        </w:rPr>
      </w:pPr>
      <w:r>
        <w:rPr>
          <w:rFonts w:ascii="Times New Roman" w:hAnsi="Times New Roman" w:cs="Times New Roman"/>
          <w:sz w:val="24"/>
          <w:szCs w:val="24"/>
        </w:rPr>
        <w:t>p</w:t>
      </w:r>
      <w:r w:rsidRPr="006D0052">
        <w:rPr>
          <w:rFonts w:ascii="Times New Roman" w:hAnsi="Times New Roman" w:cs="Times New Roman"/>
          <w:sz w:val="24"/>
          <w:szCs w:val="24"/>
        </w:rPr>
        <w:t>rivi</w:t>
      </w:r>
      <w:r w:rsidR="00343DA2">
        <w:rPr>
          <w:rFonts w:ascii="Times New Roman" w:hAnsi="Times New Roman" w:cs="Times New Roman"/>
          <w:sz w:val="24"/>
          <w:szCs w:val="24"/>
        </w:rPr>
        <w:t>nd aprobarea  tarifelor aferent</w:t>
      </w:r>
      <w:r w:rsidRPr="006D0052">
        <w:rPr>
          <w:rFonts w:ascii="Times New Roman" w:hAnsi="Times New Roman" w:cs="Times New Roman"/>
          <w:sz w:val="24"/>
          <w:szCs w:val="24"/>
        </w:rPr>
        <w:t>e utilizării stațiilor de încărcare vehicule electrice amplasate pe domeniul public al Municipiului Timișoara</w:t>
      </w:r>
    </w:p>
    <w:p w:rsidR="00E33C7E" w:rsidRDefault="00E33C7E" w:rsidP="00F05577">
      <w:pPr>
        <w:spacing w:after="0" w:line="240" w:lineRule="auto"/>
        <w:jc w:val="center"/>
        <w:rPr>
          <w:rFonts w:ascii="Times New Roman" w:hAnsi="Times New Roman" w:cs="Times New Roman"/>
          <w:sz w:val="24"/>
          <w:szCs w:val="24"/>
        </w:rPr>
      </w:pPr>
    </w:p>
    <w:p w:rsidR="00E33C7E" w:rsidRPr="006F6A48" w:rsidRDefault="00E33C7E" w:rsidP="00F05577">
      <w:pPr>
        <w:spacing w:after="0" w:line="240" w:lineRule="auto"/>
        <w:jc w:val="center"/>
        <w:rPr>
          <w:rFonts w:ascii="Times New Roman" w:hAnsi="Times New Roman" w:cs="Times New Roman"/>
          <w:sz w:val="24"/>
          <w:szCs w:val="24"/>
        </w:rPr>
      </w:pP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 xml:space="preserve">Prin H.C.L. nr.15/11.01.2019 s-a aprobat depunerea de către Municipiul Timișoara a unei cereri de finanțare în cadrul Programului privind reducerea emisiilor de gaze cu efect de seră în transporturi, prin promovarea infrastructurii pentru vehiculele de transport rutier nepoluant din punct de vedere energetic: staţii de reîncărcare pentru vehicule electrice în municipiile reşedinţe de judeţ; </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Prin contractul nr. 10/GES/20.05.2020 încheiat între Administrația Fondului pentru Mediu în calitate de autoritate  și Municipiul Timișoara în calitate de beneficiar, autoritatea acordă beneficiarului  o finanţare nerambursabilă reprezentând 90% din valoarea chetuielilor eligibile, pentru realizarea proiectului vizând achiziția și montarea unui număr de16 stațiilor de reîncărcare pentru vehicule electrice în Municipiul Timișoara.</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Prin contractul  nr. 42 /11.05.2021, încheiat între Municipiul Timișoara şi S.C. EVGO GREEN MOTION S.R.L., s-au realizat servicii de proiectare, execuție, verificare tehnică pentru obiectivul  „Realizarea de stații de reîncărcare pentru vehicule electrice în Municipiul Timișoara”.</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 xml:space="preserve">În urma investiției s-au amplasat un număr de 16 stații  de încărcare rapidă a vehiculelor electrice prin care se vor asigura facilități pentru proprietarii de vehicule electrice și hibrid, și se va încuraja achiziția unor astfel de autoturisme și motocicluri nepoluante de către persoanele fizice și juridice din Municipiul Timișoara și Județul Timiș. De asemenea, investiția va contribui la reducerea emisiilor de GES pe teritoriul administrativ al Municipiului Timișoara și al Județului și la tranziția către un sector de transport  ecologic și emisii scăzute de carbon. </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Acestea sunt amplasate în următoarele locații:</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1.</w:t>
      </w:r>
      <w:r w:rsidRPr="00E33C7E">
        <w:rPr>
          <w:rFonts w:ascii="Times New Roman" w:eastAsia="Arial" w:hAnsi="Times New Roman" w:cs="Times New Roman"/>
          <w:color w:val="212529"/>
        </w:rPr>
        <w:tab/>
        <w:t>Timișoara, B-dul I.C. Brătianu</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2.</w:t>
      </w:r>
      <w:r w:rsidRPr="00E33C7E">
        <w:rPr>
          <w:rFonts w:ascii="Times New Roman" w:eastAsia="Arial" w:hAnsi="Times New Roman" w:cs="Times New Roman"/>
          <w:color w:val="212529"/>
        </w:rPr>
        <w:tab/>
        <w:t>Timișoara, Calea Aradului - Str. Cugir</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3.</w:t>
      </w:r>
      <w:r w:rsidRPr="00E33C7E">
        <w:rPr>
          <w:rFonts w:ascii="Times New Roman" w:eastAsia="Arial" w:hAnsi="Times New Roman" w:cs="Times New Roman"/>
          <w:color w:val="212529"/>
        </w:rPr>
        <w:tab/>
        <w:t>Timișoara, Piața Iancu Huniade</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4.</w:t>
      </w:r>
      <w:r w:rsidRPr="00E33C7E">
        <w:rPr>
          <w:rFonts w:ascii="Times New Roman" w:eastAsia="Arial" w:hAnsi="Times New Roman" w:cs="Times New Roman"/>
          <w:color w:val="212529"/>
        </w:rPr>
        <w:tab/>
        <w:t>Timișoara, Acad. Alex. Borza – Str. Michelangelo</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5.</w:t>
      </w:r>
      <w:r w:rsidRPr="00E33C7E">
        <w:rPr>
          <w:rFonts w:ascii="Times New Roman" w:eastAsia="Arial" w:hAnsi="Times New Roman" w:cs="Times New Roman"/>
          <w:color w:val="212529"/>
        </w:rPr>
        <w:tab/>
        <w:t>Timișoara, Str. Martin Luther</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6.</w:t>
      </w:r>
      <w:r w:rsidRPr="00E33C7E">
        <w:rPr>
          <w:rFonts w:ascii="Times New Roman" w:eastAsia="Arial" w:hAnsi="Times New Roman" w:cs="Times New Roman"/>
          <w:color w:val="212529"/>
        </w:rPr>
        <w:tab/>
        <w:t>Timișoara, Str. Gheorghe Dima</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7.</w:t>
      </w:r>
      <w:r w:rsidRPr="00E33C7E">
        <w:rPr>
          <w:rFonts w:ascii="Times New Roman" w:eastAsia="Arial" w:hAnsi="Times New Roman" w:cs="Times New Roman"/>
          <w:color w:val="212529"/>
        </w:rPr>
        <w:tab/>
        <w:t>Timișoara, B-dul. Take Ionescu</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8.</w:t>
      </w:r>
      <w:r w:rsidRPr="00E33C7E">
        <w:rPr>
          <w:rFonts w:ascii="Times New Roman" w:eastAsia="Arial" w:hAnsi="Times New Roman" w:cs="Times New Roman"/>
          <w:color w:val="212529"/>
        </w:rPr>
        <w:tab/>
        <w:t>Timișoara, Piața 700</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9.</w:t>
      </w:r>
      <w:r w:rsidRPr="00E33C7E">
        <w:rPr>
          <w:rFonts w:ascii="Times New Roman" w:eastAsia="Arial" w:hAnsi="Times New Roman" w:cs="Times New Roman"/>
          <w:color w:val="212529"/>
        </w:rPr>
        <w:tab/>
        <w:t>Timișoara, B-dul. Republicii</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10.</w:t>
      </w:r>
      <w:r w:rsidRPr="00E33C7E">
        <w:rPr>
          <w:rFonts w:ascii="Times New Roman" w:eastAsia="Arial" w:hAnsi="Times New Roman" w:cs="Times New Roman"/>
          <w:color w:val="212529"/>
        </w:rPr>
        <w:tab/>
        <w:t>Timișoara, B-dul. Revoluției din 1989</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11.</w:t>
      </w:r>
      <w:r w:rsidRPr="00E33C7E">
        <w:rPr>
          <w:rFonts w:ascii="Times New Roman" w:eastAsia="Arial" w:hAnsi="Times New Roman" w:cs="Times New Roman"/>
          <w:color w:val="212529"/>
        </w:rPr>
        <w:tab/>
        <w:t>Timișoara, Splaiul Nicolae Titulescu</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12.</w:t>
      </w:r>
      <w:r w:rsidRPr="00E33C7E">
        <w:rPr>
          <w:rFonts w:ascii="Times New Roman" w:eastAsia="Arial" w:hAnsi="Times New Roman" w:cs="Times New Roman"/>
          <w:color w:val="212529"/>
        </w:rPr>
        <w:tab/>
        <w:t>Timișoara, B-dul. Mihai Viteazu</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13.</w:t>
      </w:r>
      <w:r w:rsidRPr="00E33C7E">
        <w:rPr>
          <w:rFonts w:ascii="Times New Roman" w:eastAsia="Arial" w:hAnsi="Times New Roman" w:cs="Times New Roman"/>
          <w:color w:val="212529"/>
        </w:rPr>
        <w:tab/>
        <w:t>Timișoara, B-dul. Mihai Viteazu</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14.</w:t>
      </w:r>
      <w:r w:rsidRPr="00E33C7E">
        <w:rPr>
          <w:rFonts w:ascii="Times New Roman" w:eastAsia="Arial" w:hAnsi="Times New Roman" w:cs="Times New Roman"/>
          <w:color w:val="212529"/>
        </w:rPr>
        <w:tab/>
        <w:t>Timișoara, Str. Plauțius Andronescu</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15.</w:t>
      </w:r>
      <w:r w:rsidRPr="00E33C7E">
        <w:rPr>
          <w:rFonts w:ascii="Times New Roman" w:eastAsia="Arial" w:hAnsi="Times New Roman" w:cs="Times New Roman"/>
          <w:color w:val="212529"/>
        </w:rPr>
        <w:tab/>
        <w:t>Timișoara, Str. Aștrilor (Al. Martir Eugen Nagy)</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16.</w:t>
      </w:r>
      <w:r w:rsidRPr="00E33C7E">
        <w:rPr>
          <w:rFonts w:ascii="Times New Roman" w:eastAsia="Arial" w:hAnsi="Times New Roman" w:cs="Times New Roman"/>
          <w:color w:val="212529"/>
        </w:rPr>
        <w:tab/>
        <w:t>Timișoara, B-dul. 16 Decembrie 1989 / Calea Șagului</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Locurile de parcare aferente celor 16 stații de reîncărcare (câte două locuri de parcare pentru fiecare stație), egal cu numărul punctelor de reîncărcare aferente stațiilor sunt destinate exclusiv încărcării vehiculelor electrice, marcate cu culoarea verde, cu panou de informare. Semnalizarea este corespunzătoare şi vizibilă, în concordanţă cu standardele europene şi naţionale în domeniu.</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Stațiile de încărcare vehicule electrice sunt de tipul Fast Charge DC/AC 60-22 kW, respectiv stații de încărcare DC de înaltă tensiune și AC pentru încărcarea rapidă a autoturismelor electrice;</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 xml:space="preserve">Având în vedere abordarea tot mai largă de către cetățeni a achiziției vehiculelor electrice </w:t>
      </w:r>
      <w:r w:rsidRPr="00E33C7E">
        <w:rPr>
          <w:rFonts w:ascii="Times New Roman" w:eastAsia="Arial" w:hAnsi="Times New Roman" w:cs="Times New Roman"/>
          <w:color w:val="212529"/>
        </w:rPr>
        <w:lastRenderedPageBreak/>
        <w:t>motivate de trendul global, precum și de criza combustibililor lichizi ;</w:t>
      </w:r>
    </w:p>
    <w:p w:rsidR="00E33C7E" w:rsidRP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Având în vedere și implicit consumul de energie electrică motivat de creșterea tarifului la energie electrică din ultima perioadă;</w:t>
      </w:r>
    </w:p>
    <w:p w:rsid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 xml:space="preserve">Având </w:t>
      </w:r>
      <w:r w:rsidR="001E5E17">
        <w:rPr>
          <w:rFonts w:ascii="Times New Roman" w:eastAsia="Arial" w:hAnsi="Times New Roman" w:cs="Times New Roman"/>
          <w:color w:val="212529"/>
        </w:rPr>
        <w:t xml:space="preserve">în vedere răspunsul </w:t>
      </w:r>
      <w:r w:rsidRPr="00E33C7E">
        <w:rPr>
          <w:rFonts w:ascii="Times New Roman" w:eastAsia="Arial" w:hAnsi="Times New Roman" w:cs="Times New Roman"/>
          <w:color w:val="212529"/>
        </w:rPr>
        <w:t>la adresa nr.</w:t>
      </w:r>
      <w:r w:rsidR="001E5E17">
        <w:rPr>
          <w:rFonts w:ascii="Times New Roman" w:eastAsia="Arial" w:hAnsi="Times New Roman" w:cs="Times New Roman"/>
          <w:color w:val="212529"/>
        </w:rPr>
        <w:t>SM2022-1074/26.04.2022</w:t>
      </w:r>
      <w:r w:rsidRPr="00E33C7E">
        <w:rPr>
          <w:rFonts w:ascii="Times New Roman" w:eastAsia="Arial" w:hAnsi="Times New Roman" w:cs="Times New Roman"/>
          <w:color w:val="212529"/>
        </w:rPr>
        <w:t xml:space="preserve"> de la Serviciul Administrare Rețele Publice, privind comunicare tarifului la energia electric care cuprinde energia electrică, distribuție accize și alte taxe conform facturilor plătite de către municipalitate către furnizorul de energie </w:t>
      </w:r>
      <w:r w:rsidRPr="001E5E17">
        <w:rPr>
          <w:rFonts w:ascii="Times New Roman" w:eastAsia="Arial" w:hAnsi="Times New Roman" w:cs="Times New Roman"/>
          <w:color w:val="212529"/>
        </w:rPr>
        <w:t xml:space="preserve">electrică </w:t>
      </w:r>
      <w:r w:rsidR="001E5E17" w:rsidRPr="001E5E17">
        <w:rPr>
          <w:rFonts w:ascii="Times New Roman" w:eastAsia="Arial" w:hAnsi="Times New Roman" w:cs="Times New Roman"/>
          <w:color w:val="212529"/>
        </w:rPr>
        <w:t xml:space="preserve"> 0,8071 </w:t>
      </w:r>
      <w:r w:rsidR="001E5E17">
        <w:rPr>
          <w:rFonts w:ascii="Times New Roman" w:eastAsia="Arial" w:hAnsi="Times New Roman" w:cs="Times New Roman"/>
          <w:color w:val="212529"/>
        </w:rPr>
        <w:t>lei / kWh.</w:t>
      </w:r>
      <w:r w:rsidR="001E5E17" w:rsidRPr="001E5E17">
        <w:rPr>
          <w:rFonts w:ascii="Times New Roman" w:eastAsia="Arial" w:hAnsi="Times New Roman" w:cs="Times New Roman"/>
          <w:color w:val="212529"/>
        </w:rPr>
        <w:t xml:space="preserve"> </w:t>
      </w:r>
    </w:p>
    <w:p w:rsidR="00C34428" w:rsidRDefault="00C34428" w:rsidP="00C34428">
      <w:pPr>
        <w:pStyle w:val="Normal1"/>
        <w:pBdr>
          <w:top w:val="nil"/>
          <w:left w:val="nil"/>
          <w:bottom w:val="nil"/>
          <w:right w:val="nil"/>
          <w:between w:val="nil"/>
        </w:pBdr>
        <w:ind w:firstLine="740"/>
        <w:jc w:val="both"/>
        <w:rPr>
          <w:rFonts w:eastAsia="Tahoma"/>
          <w:bCs/>
          <w:color w:val="000000"/>
        </w:rPr>
      </w:pPr>
      <w:r w:rsidRPr="00C34428">
        <w:rPr>
          <w:rFonts w:ascii="Times New Roman" w:eastAsia="Arial" w:hAnsi="Times New Roman" w:cs="Times New Roman"/>
          <w:color w:val="212529"/>
        </w:rPr>
        <w:t>Pentru a</w:t>
      </w:r>
      <w:r>
        <w:rPr>
          <w:rFonts w:ascii="Times New Roman" w:eastAsia="Arial" w:hAnsi="Times New Roman" w:cs="Times New Roman"/>
          <w:color w:val="212529"/>
        </w:rPr>
        <w:t xml:space="preserve"> </w:t>
      </w:r>
      <w:r w:rsidRPr="00C34428">
        <w:rPr>
          <w:rFonts w:ascii="Times New Roman" w:eastAsia="Arial" w:hAnsi="Times New Roman" w:cs="Times New Roman"/>
          <w:color w:val="212529"/>
        </w:rPr>
        <w:t>se putea pune în funcțiune sațiile de reincărcare</w:t>
      </w:r>
      <w:r w:rsidR="00A522C6">
        <w:rPr>
          <w:rFonts w:ascii="Times New Roman" w:eastAsia="Arial" w:hAnsi="Times New Roman" w:cs="Times New Roman"/>
          <w:color w:val="212529"/>
        </w:rPr>
        <w:t>,</w:t>
      </w:r>
      <w:r w:rsidRPr="00C34428">
        <w:rPr>
          <w:rFonts w:ascii="Times New Roman" w:eastAsia="Arial" w:hAnsi="Times New Roman" w:cs="Times New Roman"/>
          <w:color w:val="212529"/>
        </w:rPr>
        <w:t xml:space="preserve"> s-a achiziționat </w:t>
      </w:r>
      <w:r w:rsidRPr="00C34428">
        <w:rPr>
          <w:rFonts w:eastAsia="Tahoma"/>
          <w:bCs/>
          <w:color w:val="000000"/>
        </w:rPr>
        <w:t>servicii de reîncărcare a vehiculelor electrice, pentru stațiile aflate pe domeniul public al Municipiului Timișoara, prin utilizarea unei aplicații Smart Charge</w:t>
      </w:r>
      <w:r>
        <w:rPr>
          <w:rFonts w:eastAsia="Tahoma"/>
          <w:bCs/>
          <w:color w:val="000000"/>
        </w:rPr>
        <w:t>. Astfel confrom contractului din valoarea totală a încasărilor din încărcarea avutovehiculelor 10 %   rămân la prestator</w:t>
      </w:r>
      <w:r w:rsidR="00A522C6">
        <w:rPr>
          <w:rFonts w:eastAsia="Tahoma"/>
          <w:bCs/>
          <w:color w:val="000000"/>
        </w:rPr>
        <w:t>,</w:t>
      </w:r>
      <w:r>
        <w:rPr>
          <w:rFonts w:eastAsia="Tahoma"/>
          <w:bCs/>
          <w:color w:val="000000"/>
        </w:rPr>
        <w:t xml:space="preserve"> </w:t>
      </w:r>
      <w:r w:rsidR="00A522C6">
        <w:rPr>
          <w:rFonts w:eastAsia="Tahoma"/>
          <w:bCs/>
          <w:color w:val="000000"/>
        </w:rPr>
        <w:t xml:space="preserve">care reprezintă </w:t>
      </w:r>
      <w:r w:rsidR="00A522C6">
        <w:rPr>
          <w:rFonts w:ascii="Times New Roman" w:eastAsia="Arial" w:hAnsi="Times New Roman" w:cs="Times New Roman"/>
          <w:color w:val="212529"/>
        </w:rPr>
        <w:t>constul pentru tranzacționarea produselor, serviciilor de interconectare și comisioanele aferente ( sistem bancar, operatori de telefonie mobile, integrator plăți, administrare platformă software) prin intermediul aplicației ” Smart Charge”.</w:t>
      </w:r>
    </w:p>
    <w:p w:rsidR="001E5E17" w:rsidRDefault="00A522C6"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Pr>
          <w:rFonts w:ascii="Times New Roman" w:eastAsia="Arial" w:hAnsi="Times New Roman" w:cs="Times New Roman"/>
          <w:color w:val="212529"/>
        </w:rPr>
        <w:t>M</w:t>
      </w:r>
      <w:r w:rsidR="001E5E17">
        <w:rPr>
          <w:rFonts w:ascii="Times New Roman" w:eastAsia="Arial" w:hAnsi="Times New Roman" w:cs="Times New Roman"/>
          <w:color w:val="212529"/>
        </w:rPr>
        <w:t>unicipiul Timișoara stabilește prețul /kw/ oră consum,la care se va adaugă un procent de 10%, care reprezintă constul pentru tranzacționarea produselor, serviciilor de interconectare și comisioanele aferente ( sistem bancar, operatori de telefonie mobile, integrator plăți, administrare platformă software) prin intermediul aplicației ” Smart Charge”</w:t>
      </w:r>
      <w:r w:rsidR="00C8496F">
        <w:rPr>
          <w:rFonts w:ascii="Times New Roman" w:eastAsia="Arial" w:hAnsi="Times New Roman" w:cs="Times New Roman"/>
          <w:color w:val="212529"/>
        </w:rPr>
        <w:t>.</w:t>
      </w:r>
    </w:p>
    <w:p w:rsidR="00E33C7E" w:rsidRPr="009D6937"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 xml:space="preserve">  Municipiul Timișoara consideră ca necesară și oportună taxarea acestui serviciu prin stabilirea unui tarif de încărcare vehicule electrice pentru utilizarea stațiilor de încărcare vehicule electrice </w:t>
      </w:r>
      <w:r w:rsidRPr="009D6937">
        <w:rPr>
          <w:rFonts w:ascii="Times New Roman" w:eastAsia="Arial" w:hAnsi="Times New Roman" w:cs="Times New Roman"/>
          <w:color w:val="212529"/>
        </w:rPr>
        <w:t>amplasate pe domeniul public al Municipiului Timișoara, aflate în administrarea sa.</w:t>
      </w:r>
    </w:p>
    <w:p w:rsidR="0000378D" w:rsidRDefault="009D6937"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00378D">
        <w:rPr>
          <w:rFonts w:ascii="Times New Roman" w:eastAsia="Arial" w:hAnsi="Times New Roman" w:cs="Times New Roman"/>
          <w:color w:val="212529"/>
        </w:rPr>
        <w:t>În acest sens propunem</w:t>
      </w:r>
      <w:r w:rsidR="001E5E17" w:rsidRPr="0000378D">
        <w:rPr>
          <w:rFonts w:ascii="Times New Roman" w:eastAsia="Arial" w:hAnsi="Times New Roman" w:cs="Times New Roman"/>
          <w:color w:val="212529"/>
        </w:rPr>
        <w:t xml:space="preserve"> stabilirea tarifului de </w:t>
      </w:r>
      <w:r w:rsidR="001E5E17" w:rsidRPr="00A522C6">
        <w:rPr>
          <w:rFonts w:ascii="Times New Roman" w:eastAsia="Arial" w:hAnsi="Times New Roman" w:cs="Times New Roman"/>
          <w:b/>
          <w:color w:val="212529"/>
        </w:rPr>
        <w:t>0,8071</w:t>
      </w:r>
      <w:r w:rsidRPr="0000378D">
        <w:rPr>
          <w:rFonts w:ascii="Times New Roman" w:eastAsia="Arial" w:hAnsi="Times New Roman" w:cs="Times New Roman"/>
          <w:color w:val="212529"/>
        </w:rPr>
        <w:t xml:space="preserve"> lei / kWh  lei fără TVA + 10 %  chetuieli </w:t>
      </w:r>
      <w:r w:rsidR="001E5E17" w:rsidRPr="0000378D">
        <w:rPr>
          <w:rFonts w:ascii="Times New Roman" w:eastAsia="Arial" w:hAnsi="Times New Roman" w:cs="Times New Roman"/>
          <w:color w:val="212529"/>
        </w:rPr>
        <w:t>care reprezintă costul pentru tranzacționarea produselor, serviciilor de interconectare și comisioanele aferente</w:t>
      </w:r>
      <w:r w:rsidRPr="0000378D">
        <w:rPr>
          <w:rFonts w:ascii="Times New Roman" w:eastAsia="Arial" w:hAnsi="Times New Roman" w:cs="Times New Roman"/>
          <w:color w:val="212529"/>
        </w:rPr>
        <w:t xml:space="preserve"> </w:t>
      </w:r>
      <w:r w:rsidRPr="00A522C6">
        <w:rPr>
          <w:rFonts w:ascii="Times New Roman" w:eastAsia="Arial" w:hAnsi="Times New Roman" w:cs="Times New Roman"/>
          <w:b/>
          <w:color w:val="212529"/>
        </w:rPr>
        <w:t>0,887</w:t>
      </w:r>
      <w:r w:rsidR="001E5E17" w:rsidRPr="00A522C6">
        <w:rPr>
          <w:rFonts w:ascii="Times New Roman" w:eastAsia="Arial" w:hAnsi="Times New Roman" w:cs="Times New Roman"/>
          <w:b/>
          <w:color w:val="212529"/>
        </w:rPr>
        <w:t>8</w:t>
      </w:r>
      <w:r w:rsidRPr="0000378D">
        <w:rPr>
          <w:rFonts w:ascii="Times New Roman" w:eastAsia="Arial" w:hAnsi="Times New Roman" w:cs="Times New Roman"/>
          <w:color w:val="212529"/>
        </w:rPr>
        <w:t xml:space="preserve"> lei fără TVA, respectiv </w:t>
      </w:r>
      <w:r w:rsidRPr="00A67A39">
        <w:rPr>
          <w:rFonts w:ascii="Times New Roman" w:eastAsia="Arial" w:hAnsi="Times New Roman" w:cs="Times New Roman"/>
          <w:b/>
          <w:color w:val="212529"/>
        </w:rPr>
        <w:t>1,056</w:t>
      </w:r>
      <w:r w:rsidR="0000378D" w:rsidRPr="00A67A39">
        <w:rPr>
          <w:rFonts w:ascii="Times New Roman" w:eastAsia="Arial" w:hAnsi="Times New Roman" w:cs="Times New Roman"/>
          <w:b/>
          <w:color w:val="212529"/>
        </w:rPr>
        <w:t>4</w:t>
      </w:r>
      <w:r w:rsidR="0000378D" w:rsidRPr="0000378D">
        <w:rPr>
          <w:rFonts w:ascii="Times New Roman" w:eastAsia="Arial" w:hAnsi="Times New Roman" w:cs="Times New Roman"/>
          <w:color w:val="212529"/>
        </w:rPr>
        <w:t xml:space="preserve"> </w:t>
      </w:r>
      <w:r w:rsidRPr="0000378D">
        <w:rPr>
          <w:rFonts w:ascii="Times New Roman" w:eastAsia="Arial" w:hAnsi="Times New Roman" w:cs="Times New Roman"/>
          <w:color w:val="212529"/>
        </w:rPr>
        <w:t>lei cu TVA  pentru serviciul de încărcare a vehiculelor electrice, pentru stațiile de încărcacre cu curent alternativ (AC) și curent continuu (DC).</w:t>
      </w:r>
      <w:r>
        <w:rPr>
          <w:rFonts w:ascii="Times New Roman" w:eastAsia="Arial" w:hAnsi="Times New Roman" w:cs="Times New Roman"/>
          <w:color w:val="212529"/>
        </w:rPr>
        <w:t xml:space="preserve"> </w:t>
      </w:r>
    </w:p>
    <w:p w:rsidR="00E33C7E"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În cazul stațiilor de încărcare amplasate în parcările publice cu plată, tariful pentru serviciul de încărcare a vehiculelor electrice nu include și tariful de parcare.</w:t>
      </w:r>
    </w:p>
    <w:p w:rsidR="00AA1203" w:rsidRPr="00AA1203" w:rsidRDefault="00AA1203" w:rsidP="00E33C7E">
      <w:pPr>
        <w:pStyle w:val="Normal1"/>
        <w:pBdr>
          <w:top w:val="nil"/>
          <w:left w:val="nil"/>
          <w:bottom w:val="nil"/>
          <w:right w:val="nil"/>
          <w:between w:val="nil"/>
        </w:pBdr>
        <w:ind w:firstLine="740"/>
        <w:jc w:val="both"/>
        <w:rPr>
          <w:rFonts w:ascii="Times New Roman" w:eastAsia="Arial" w:hAnsi="Times New Roman" w:cs="Times New Roman"/>
        </w:rPr>
      </w:pPr>
      <w:r w:rsidRPr="00AA1203">
        <w:rPr>
          <w:noProof/>
          <w:lang w:val="fr-FR"/>
        </w:rPr>
        <w:t>Tariful va fi actualizat ori de câte ori evoluția elementelor de calcul o va impune, conform contractului cu furnizorul de energie electrcică;</w:t>
      </w:r>
    </w:p>
    <w:p w:rsidR="006F6A48" w:rsidRPr="006F6A48" w:rsidRDefault="00E33C7E" w:rsidP="00E33C7E">
      <w:pPr>
        <w:pStyle w:val="Normal1"/>
        <w:pBdr>
          <w:top w:val="nil"/>
          <w:left w:val="nil"/>
          <w:bottom w:val="nil"/>
          <w:right w:val="nil"/>
          <w:between w:val="nil"/>
        </w:pBdr>
        <w:ind w:firstLine="740"/>
        <w:jc w:val="both"/>
        <w:rPr>
          <w:rFonts w:ascii="Times New Roman" w:eastAsia="Arial" w:hAnsi="Times New Roman" w:cs="Times New Roman"/>
          <w:color w:val="212529"/>
        </w:rPr>
      </w:pPr>
      <w:r w:rsidRPr="00E33C7E">
        <w:rPr>
          <w:rFonts w:ascii="Times New Roman" w:eastAsia="Arial" w:hAnsi="Times New Roman" w:cs="Times New Roman"/>
          <w:color w:val="212529"/>
        </w:rPr>
        <w:t>În concluzie, considerăm necesar regelementarea utilizării stațiilor de încărcare vehicule electrice amplasate pe domeniul public al Municipiului Timișoara și aprobarea tarifelor aferente acestui serviciu.</w:t>
      </w:r>
      <w:r w:rsidR="006F6A48" w:rsidRPr="006F6A48">
        <w:rPr>
          <w:rFonts w:ascii="Times New Roman" w:eastAsia="Arial" w:hAnsi="Times New Roman" w:cs="Times New Roman"/>
          <w:color w:val="212529"/>
        </w:rPr>
        <w:t xml:space="preserve"> </w:t>
      </w:r>
      <w:bookmarkStart w:id="0" w:name="_30j0zll" w:colFirst="0" w:colLast="0"/>
      <w:bookmarkEnd w:id="0"/>
    </w:p>
    <w:p w:rsidR="00E33C7E" w:rsidRPr="00E33C7E" w:rsidRDefault="00756B62" w:rsidP="00E33C7E">
      <w:pPr>
        <w:pStyle w:val="Normal1"/>
        <w:pBdr>
          <w:top w:val="nil"/>
          <w:left w:val="nil"/>
          <w:bottom w:val="nil"/>
          <w:right w:val="nil"/>
          <w:between w:val="nil"/>
        </w:pBdr>
        <w:ind w:firstLine="740"/>
        <w:jc w:val="both"/>
        <w:rPr>
          <w:rFonts w:ascii="Times New Roman" w:hAnsi="Times New Roman" w:cs="Times New Roman"/>
          <w:spacing w:val="-2"/>
        </w:rPr>
      </w:pPr>
      <w:bookmarkStart w:id="1" w:name="_GoBack"/>
      <w:bookmarkEnd w:id="1"/>
      <w:r w:rsidRPr="006F6A48">
        <w:rPr>
          <w:rFonts w:ascii="Times New Roman" w:hAnsi="Times New Roman" w:cs="Times New Roman"/>
        </w:rPr>
        <w:t xml:space="preserve">Având în vedere cele expuse, supunem spre analiză şi aprobare, în condiţiile legii, proiectul de hotărâre alăturat, privind aprobarea </w:t>
      </w:r>
      <w:r w:rsidR="00E33C7E" w:rsidRPr="00E33C7E">
        <w:rPr>
          <w:rFonts w:ascii="Times New Roman" w:hAnsi="Times New Roman" w:cs="Times New Roman"/>
          <w:spacing w:val="-2"/>
        </w:rPr>
        <w:t>reglementarea  utilizării stațiilor de încărcare vehicule electrice amplasate pe domeniul public al Municipiului Timișoara și aprobarea tarifelor aferentre acestui serviciu</w:t>
      </w:r>
      <w:r w:rsidR="00E33C7E">
        <w:rPr>
          <w:rFonts w:ascii="Times New Roman" w:hAnsi="Times New Roman" w:cs="Times New Roman"/>
          <w:spacing w:val="-2"/>
        </w:rPr>
        <w:t>.</w:t>
      </w:r>
    </w:p>
    <w:p w:rsidR="00756B62" w:rsidRDefault="00756B62" w:rsidP="00557296">
      <w:pPr>
        <w:pStyle w:val="Normal1"/>
        <w:pBdr>
          <w:top w:val="nil"/>
          <w:left w:val="nil"/>
          <w:bottom w:val="nil"/>
          <w:right w:val="nil"/>
          <w:between w:val="nil"/>
        </w:pBdr>
        <w:ind w:firstLine="740"/>
        <w:jc w:val="both"/>
        <w:rPr>
          <w:rFonts w:ascii="Times New Roman" w:hAnsi="Times New Roman" w:cs="Times New Roman"/>
        </w:rPr>
      </w:pPr>
      <w:r w:rsidRPr="006F6A48">
        <w:rPr>
          <w:rFonts w:ascii="Times New Roman" w:hAnsi="Times New Roman" w:cs="Times New Roman"/>
        </w:rPr>
        <w:t xml:space="preserve"> </w:t>
      </w:r>
    </w:p>
    <w:p w:rsidR="00DC006F" w:rsidRDefault="00DC006F" w:rsidP="00557296">
      <w:pPr>
        <w:pStyle w:val="Normal1"/>
        <w:pBdr>
          <w:top w:val="nil"/>
          <w:left w:val="nil"/>
          <w:bottom w:val="nil"/>
          <w:right w:val="nil"/>
          <w:between w:val="nil"/>
        </w:pBdr>
        <w:ind w:firstLine="740"/>
        <w:jc w:val="both"/>
        <w:rPr>
          <w:rFonts w:ascii="Times New Roman" w:hAnsi="Times New Roman" w:cs="Times New Roman"/>
        </w:rPr>
      </w:pPr>
    </w:p>
    <w:p w:rsidR="00E33C7E" w:rsidRDefault="00E33C7E" w:rsidP="00557296">
      <w:pPr>
        <w:pStyle w:val="Normal1"/>
        <w:pBdr>
          <w:top w:val="nil"/>
          <w:left w:val="nil"/>
          <w:bottom w:val="nil"/>
          <w:right w:val="nil"/>
          <w:between w:val="nil"/>
        </w:pBdr>
        <w:ind w:firstLine="740"/>
        <w:jc w:val="both"/>
        <w:rPr>
          <w:rFonts w:ascii="Times New Roman" w:hAnsi="Times New Roman" w:cs="Times New Roman"/>
        </w:rPr>
      </w:pPr>
    </w:p>
    <w:p w:rsidR="00E33C7E" w:rsidRDefault="00E33C7E" w:rsidP="00557296">
      <w:pPr>
        <w:pStyle w:val="Normal1"/>
        <w:pBdr>
          <w:top w:val="nil"/>
          <w:left w:val="nil"/>
          <w:bottom w:val="nil"/>
          <w:right w:val="nil"/>
          <w:between w:val="nil"/>
        </w:pBdr>
        <w:ind w:firstLine="740"/>
        <w:jc w:val="both"/>
        <w:rPr>
          <w:rFonts w:ascii="Times New Roman" w:hAnsi="Times New Roman" w:cs="Times New Roman"/>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5051"/>
        <w:gridCol w:w="4973"/>
      </w:tblGrid>
      <w:tr w:rsidR="00A522C6" w:rsidRPr="00A522C6" w:rsidTr="00A522C6">
        <w:tc>
          <w:tcPr>
            <w:tcW w:w="5051" w:type="dxa"/>
          </w:tcPr>
          <w:p w:rsidR="00A522C6" w:rsidRPr="00A522C6" w:rsidRDefault="00A522C6" w:rsidP="00EF6151">
            <w:pPr>
              <w:pStyle w:val="Normal1"/>
              <w:pBdr>
                <w:top w:val="nil"/>
                <w:left w:val="nil"/>
                <w:bottom w:val="nil"/>
                <w:right w:val="nil"/>
                <w:between w:val="nil"/>
              </w:pBdr>
              <w:jc w:val="center"/>
              <w:rPr>
                <w:rFonts w:ascii="Times New Roman" w:eastAsia="Calibri" w:hAnsi="Times New Roman" w:cs="Times New Roman"/>
                <w:b/>
                <w:sz w:val="22"/>
                <w:szCs w:val="22"/>
              </w:rPr>
            </w:pPr>
            <w:r w:rsidRPr="00A522C6">
              <w:rPr>
                <w:rFonts w:ascii="Times New Roman" w:eastAsia="Calibri" w:hAnsi="Times New Roman" w:cs="Times New Roman"/>
                <w:b/>
                <w:sz w:val="22"/>
                <w:szCs w:val="22"/>
              </w:rPr>
              <w:t>PRIMAR</w:t>
            </w:r>
          </w:p>
        </w:tc>
        <w:tc>
          <w:tcPr>
            <w:tcW w:w="4973" w:type="dxa"/>
          </w:tcPr>
          <w:p w:rsidR="00A522C6" w:rsidRPr="00A522C6" w:rsidRDefault="00A522C6" w:rsidP="00EF6151">
            <w:pPr>
              <w:pStyle w:val="Normal1"/>
              <w:pBdr>
                <w:top w:val="nil"/>
                <w:left w:val="nil"/>
                <w:bottom w:val="nil"/>
                <w:right w:val="nil"/>
                <w:between w:val="nil"/>
              </w:pBdr>
              <w:jc w:val="center"/>
              <w:rPr>
                <w:rFonts w:ascii="Times New Roman" w:eastAsia="Calibri" w:hAnsi="Times New Roman" w:cs="Times New Roman"/>
                <w:b/>
                <w:sz w:val="22"/>
                <w:szCs w:val="22"/>
              </w:rPr>
            </w:pPr>
            <w:r w:rsidRPr="00A522C6">
              <w:rPr>
                <w:rFonts w:ascii="Times New Roman" w:eastAsia="Calibri" w:hAnsi="Times New Roman" w:cs="Times New Roman"/>
                <w:b/>
                <w:sz w:val="22"/>
                <w:szCs w:val="22"/>
              </w:rPr>
              <w:t>ȘEF BIROU AVIZE SI CONTROL MEDIU</w:t>
            </w:r>
          </w:p>
        </w:tc>
      </w:tr>
      <w:tr w:rsidR="00A522C6" w:rsidRPr="00A522C6" w:rsidTr="00A522C6">
        <w:tc>
          <w:tcPr>
            <w:tcW w:w="5051" w:type="dxa"/>
          </w:tcPr>
          <w:p w:rsidR="00A522C6" w:rsidRPr="00A522C6" w:rsidRDefault="00A522C6" w:rsidP="00EF6151">
            <w:pPr>
              <w:pStyle w:val="Normal1"/>
              <w:pBdr>
                <w:top w:val="nil"/>
                <w:left w:val="nil"/>
                <w:bottom w:val="nil"/>
                <w:right w:val="nil"/>
                <w:between w:val="nil"/>
              </w:pBdr>
              <w:jc w:val="center"/>
              <w:rPr>
                <w:rFonts w:ascii="Times New Roman" w:eastAsia="Calibri" w:hAnsi="Times New Roman" w:cs="Times New Roman"/>
                <w:b/>
                <w:sz w:val="22"/>
                <w:szCs w:val="22"/>
              </w:rPr>
            </w:pPr>
            <w:r w:rsidRPr="00A522C6">
              <w:rPr>
                <w:rFonts w:ascii="Times New Roman" w:eastAsia="Calibri" w:hAnsi="Times New Roman" w:cs="Times New Roman"/>
                <w:b/>
                <w:sz w:val="22"/>
                <w:szCs w:val="22"/>
              </w:rPr>
              <w:t>Dominic FRITZ</w:t>
            </w:r>
          </w:p>
        </w:tc>
        <w:tc>
          <w:tcPr>
            <w:tcW w:w="4973" w:type="dxa"/>
          </w:tcPr>
          <w:p w:rsidR="00A522C6" w:rsidRPr="006F6A48" w:rsidRDefault="00A522C6" w:rsidP="00EF6151">
            <w:pPr>
              <w:pStyle w:val="Normal1"/>
              <w:pBdr>
                <w:top w:val="nil"/>
                <w:left w:val="nil"/>
                <w:bottom w:val="nil"/>
                <w:right w:val="nil"/>
                <w:between w:val="nil"/>
              </w:pBdr>
              <w:jc w:val="center"/>
              <w:rPr>
                <w:rFonts w:ascii="Times New Roman" w:hAnsi="Times New Roman" w:cs="Times New Roman"/>
              </w:rPr>
            </w:pPr>
            <w:r w:rsidRPr="00A522C6">
              <w:rPr>
                <w:rFonts w:ascii="Times New Roman" w:eastAsia="Calibri" w:hAnsi="Times New Roman" w:cs="Times New Roman"/>
                <w:b/>
                <w:sz w:val="22"/>
                <w:szCs w:val="22"/>
              </w:rPr>
              <w:t xml:space="preserve">Victor </w:t>
            </w:r>
            <w:proofErr w:type="spellStart"/>
            <w:r w:rsidRPr="00A522C6">
              <w:rPr>
                <w:rFonts w:ascii="Times New Roman" w:eastAsia="Calibri" w:hAnsi="Times New Roman" w:cs="Times New Roman"/>
                <w:b/>
                <w:sz w:val="22"/>
                <w:szCs w:val="22"/>
              </w:rPr>
              <w:t>Cătălin</w:t>
            </w:r>
            <w:proofErr w:type="spellEnd"/>
            <w:r w:rsidRPr="00A522C6">
              <w:rPr>
                <w:rFonts w:ascii="Times New Roman" w:eastAsia="Calibri" w:hAnsi="Times New Roman" w:cs="Times New Roman"/>
                <w:b/>
                <w:sz w:val="22"/>
                <w:szCs w:val="22"/>
              </w:rPr>
              <w:t xml:space="preserve"> BIRDA</w:t>
            </w:r>
          </w:p>
        </w:tc>
      </w:tr>
      <w:tr w:rsidR="00A522C6" w:rsidRPr="00A522C6" w:rsidTr="00A522C6">
        <w:tc>
          <w:tcPr>
            <w:tcW w:w="5051" w:type="dxa"/>
          </w:tcPr>
          <w:p w:rsidR="00A522C6" w:rsidRPr="00A522C6" w:rsidRDefault="00A522C6" w:rsidP="00194052">
            <w:pPr>
              <w:pStyle w:val="Normal1"/>
              <w:pBdr>
                <w:top w:val="nil"/>
                <w:left w:val="nil"/>
                <w:bottom w:val="nil"/>
                <w:right w:val="nil"/>
                <w:between w:val="nil"/>
              </w:pBdr>
              <w:jc w:val="both"/>
              <w:rPr>
                <w:rFonts w:ascii="Times New Roman" w:eastAsia="Calibri" w:hAnsi="Times New Roman" w:cs="Times New Roman"/>
                <w:b/>
                <w:sz w:val="22"/>
                <w:szCs w:val="22"/>
              </w:rPr>
            </w:pPr>
          </w:p>
        </w:tc>
        <w:tc>
          <w:tcPr>
            <w:tcW w:w="4973" w:type="dxa"/>
          </w:tcPr>
          <w:p w:rsidR="00A522C6" w:rsidRPr="00A522C6" w:rsidRDefault="00A522C6" w:rsidP="00194052">
            <w:pPr>
              <w:pStyle w:val="Normal1"/>
              <w:pBdr>
                <w:top w:val="nil"/>
                <w:left w:val="nil"/>
                <w:bottom w:val="nil"/>
                <w:right w:val="nil"/>
                <w:between w:val="nil"/>
              </w:pBdr>
              <w:jc w:val="both"/>
              <w:rPr>
                <w:rFonts w:ascii="Times New Roman" w:eastAsia="Calibri" w:hAnsi="Times New Roman" w:cs="Times New Roman"/>
                <w:b/>
                <w:sz w:val="22"/>
                <w:szCs w:val="22"/>
              </w:rPr>
            </w:pPr>
          </w:p>
        </w:tc>
      </w:tr>
      <w:tr w:rsidR="00A522C6" w:rsidRPr="00A522C6" w:rsidTr="00A522C6">
        <w:tc>
          <w:tcPr>
            <w:tcW w:w="5051" w:type="dxa"/>
          </w:tcPr>
          <w:p w:rsidR="00A522C6" w:rsidRPr="00A522C6" w:rsidRDefault="00A522C6" w:rsidP="00194052">
            <w:pPr>
              <w:pStyle w:val="Normal1"/>
              <w:pBdr>
                <w:top w:val="nil"/>
                <w:left w:val="nil"/>
                <w:bottom w:val="nil"/>
                <w:right w:val="nil"/>
                <w:between w:val="nil"/>
              </w:pBdr>
              <w:jc w:val="both"/>
              <w:rPr>
                <w:rFonts w:ascii="Times New Roman" w:eastAsia="Calibri" w:hAnsi="Times New Roman" w:cs="Times New Roman"/>
                <w:b/>
                <w:sz w:val="22"/>
                <w:szCs w:val="22"/>
              </w:rPr>
            </w:pPr>
            <w:r w:rsidRPr="00A522C6">
              <w:rPr>
                <w:rFonts w:ascii="Times New Roman" w:eastAsia="Calibri" w:hAnsi="Times New Roman" w:cs="Times New Roman"/>
                <w:b/>
                <w:sz w:val="22"/>
                <w:szCs w:val="22"/>
              </w:rPr>
              <w:tab/>
            </w:r>
          </w:p>
        </w:tc>
        <w:tc>
          <w:tcPr>
            <w:tcW w:w="4973" w:type="dxa"/>
          </w:tcPr>
          <w:p w:rsidR="00A522C6" w:rsidRPr="00A522C6" w:rsidRDefault="00A522C6" w:rsidP="00A522C6">
            <w:pPr>
              <w:pStyle w:val="Normal1"/>
              <w:pBdr>
                <w:top w:val="nil"/>
                <w:left w:val="nil"/>
                <w:bottom w:val="nil"/>
                <w:right w:val="nil"/>
                <w:between w:val="nil"/>
              </w:pBdr>
              <w:jc w:val="both"/>
              <w:rPr>
                <w:rFonts w:ascii="Times New Roman" w:eastAsia="Calibri" w:hAnsi="Times New Roman" w:cs="Times New Roman"/>
                <w:b/>
                <w:sz w:val="22"/>
                <w:szCs w:val="22"/>
              </w:rPr>
            </w:pPr>
          </w:p>
        </w:tc>
      </w:tr>
      <w:tr w:rsidR="00A522C6" w:rsidRPr="00A522C6" w:rsidTr="00A522C6">
        <w:tc>
          <w:tcPr>
            <w:tcW w:w="5051" w:type="dxa"/>
          </w:tcPr>
          <w:p w:rsidR="00A522C6" w:rsidRPr="00A522C6" w:rsidRDefault="00A522C6" w:rsidP="00194052">
            <w:pPr>
              <w:pStyle w:val="Normal1"/>
              <w:pBdr>
                <w:top w:val="nil"/>
                <w:left w:val="nil"/>
                <w:bottom w:val="nil"/>
                <w:right w:val="nil"/>
                <w:between w:val="nil"/>
              </w:pBdr>
              <w:jc w:val="both"/>
              <w:rPr>
                <w:rFonts w:ascii="Times New Roman" w:eastAsia="Calibri" w:hAnsi="Times New Roman" w:cs="Times New Roman"/>
                <w:b/>
                <w:sz w:val="22"/>
                <w:szCs w:val="22"/>
              </w:rPr>
            </w:pPr>
          </w:p>
        </w:tc>
        <w:tc>
          <w:tcPr>
            <w:tcW w:w="4973" w:type="dxa"/>
          </w:tcPr>
          <w:p w:rsidR="00A522C6" w:rsidRPr="00A522C6" w:rsidRDefault="00A522C6" w:rsidP="00194052">
            <w:pPr>
              <w:pStyle w:val="Normal1"/>
              <w:pBdr>
                <w:top w:val="nil"/>
                <w:left w:val="nil"/>
                <w:bottom w:val="nil"/>
                <w:right w:val="nil"/>
                <w:between w:val="nil"/>
              </w:pBdr>
              <w:jc w:val="both"/>
              <w:rPr>
                <w:rFonts w:ascii="Times New Roman" w:eastAsia="Calibri" w:hAnsi="Times New Roman" w:cs="Times New Roman"/>
                <w:b/>
                <w:sz w:val="22"/>
                <w:szCs w:val="22"/>
              </w:rPr>
            </w:pPr>
          </w:p>
        </w:tc>
      </w:tr>
      <w:tr w:rsidR="00A522C6" w:rsidRPr="00A522C6" w:rsidTr="00A522C6">
        <w:tc>
          <w:tcPr>
            <w:tcW w:w="5051" w:type="dxa"/>
          </w:tcPr>
          <w:p w:rsidR="00A522C6" w:rsidRPr="00A522C6" w:rsidRDefault="00A522C6" w:rsidP="00194052">
            <w:pPr>
              <w:pStyle w:val="Normal1"/>
              <w:pBdr>
                <w:top w:val="nil"/>
                <w:left w:val="nil"/>
                <w:bottom w:val="nil"/>
                <w:right w:val="nil"/>
                <w:between w:val="nil"/>
              </w:pBdr>
              <w:jc w:val="center"/>
              <w:rPr>
                <w:rFonts w:ascii="Times New Roman" w:eastAsia="Calibri" w:hAnsi="Times New Roman" w:cs="Times New Roman"/>
                <w:b/>
                <w:sz w:val="22"/>
                <w:szCs w:val="22"/>
              </w:rPr>
            </w:pPr>
          </w:p>
        </w:tc>
        <w:tc>
          <w:tcPr>
            <w:tcW w:w="4973" w:type="dxa"/>
          </w:tcPr>
          <w:p w:rsidR="00A522C6" w:rsidRPr="00A522C6" w:rsidRDefault="00A522C6" w:rsidP="00194052">
            <w:pPr>
              <w:pStyle w:val="Normal1"/>
              <w:pBdr>
                <w:top w:val="nil"/>
                <w:left w:val="nil"/>
                <w:bottom w:val="nil"/>
                <w:right w:val="nil"/>
                <w:between w:val="nil"/>
              </w:pBdr>
              <w:jc w:val="center"/>
              <w:rPr>
                <w:rFonts w:ascii="Times New Roman" w:eastAsia="Calibri" w:hAnsi="Times New Roman" w:cs="Times New Roman"/>
                <w:b/>
                <w:sz w:val="22"/>
                <w:szCs w:val="22"/>
              </w:rPr>
            </w:pPr>
          </w:p>
        </w:tc>
      </w:tr>
      <w:tr w:rsidR="00A522C6" w:rsidRPr="006F6A48" w:rsidTr="00A522C6">
        <w:tc>
          <w:tcPr>
            <w:tcW w:w="5051" w:type="dxa"/>
          </w:tcPr>
          <w:p w:rsidR="00A522C6" w:rsidRPr="006F6A48" w:rsidRDefault="00A522C6" w:rsidP="00194052">
            <w:pPr>
              <w:pStyle w:val="Normal1"/>
              <w:pBdr>
                <w:top w:val="nil"/>
                <w:left w:val="nil"/>
                <w:bottom w:val="nil"/>
                <w:right w:val="nil"/>
                <w:between w:val="nil"/>
              </w:pBdr>
              <w:jc w:val="center"/>
              <w:rPr>
                <w:rFonts w:ascii="Times New Roman" w:hAnsi="Times New Roman" w:cs="Times New Roman"/>
              </w:rPr>
            </w:pPr>
          </w:p>
        </w:tc>
        <w:tc>
          <w:tcPr>
            <w:tcW w:w="4973" w:type="dxa"/>
          </w:tcPr>
          <w:p w:rsidR="00A522C6" w:rsidRPr="006F6A48" w:rsidRDefault="00A522C6" w:rsidP="00194052">
            <w:pPr>
              <w:pStyle w:val="Normal1"/>
              <w:pBdr>
                <w:top w:val="nil"/>
                <w:left w:val="nil"/>
                <w:bottom w:val="nil"/>
                <w:right w:val="nil"/>
                <w:between w:val="nil"/>
              </w:pBdr>
              <w:jc w:val="center"/>
              <w:rPr>
                <w:rFonts w:ascii="Times New Roman" w:hAnsi="Times New Roman" w:cs="Times New Roman"/>
              </w:rPr>
            </w:pPr>
          </w:p>
        </w:tc>
      </w:tr>
    </w:tbl>
    <w:p w:rsidR="00DC006F" w:rsidRPr="006F6A48" w:rsidRDefault="00DC006F" w:rsidP="00A522C6">
      <w:pPr>
        <w:pStyle w:val="Normal1"/>
        <w:pBdr>
          <w:top w:val="nil"/>
          <w:left w:val="nil"/>
          <w:bottom w:val="nil"/>
          <w:right w:val="nil"/>
          <w:between w:val="nil"/>
        </w:pBdr>
        <w:jc w:val="center"/>
        <w:rPr>
          <w:rFonts w:ascii="Times New Roman" w:hAnsi="Times New Roman" w:cs="Times New Roman"/>
        </w:rPr>
      </w:pPr>
    </w:p>
    <w:sectPr w:rsidR="00DC006F" w:rsidRPr="006F6A48" w:rsidSect="00DC006F">
      <w:pgSz w:w="11906" w:h="16838" w:code="9"/>
      <w:pgMar w:top="907" w:right="851" w:bottom="851" w:left="1247" w:header="709" w:footer="709" w:gutter="0"/>
      <w:cols w:space="708"/>
      <w:docGrid w:linePitch="360"/>
    </w:sectPr>
  </w:body>
</w:document>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1EC1D157" w15:done="0"/>
</w15:commentsEx>
</file>

<file path=word/fontTable.xml><?xml version="1.0" encoding="utf-8"?>
<w:fonts xmlns:r="http://schemas.openxmlformats.org/officeDocument/2006/relationships" xmlns:w="http://schemas.openxmlformats.org/wordprocessingml/2006/main">
  <w:font w:name="Calibri">
    <w:panose1 w:val="020F0502020204030204"/>
    <w:charset w:val="EE"/>
    <w:family w:val="swiss"/>
    <w:pitch w:val="variable"/>
    <w:sig w:usb0="E0002AFF" w:usb1="C000247B" w:usb2="00000009" w:usb3="00000000" w:csb0="000001FF" w:csb1="00000000"/>
  </w:font>
  <w:font w:name="Times New Roman">
    <w:panose1 w:val="02020603050405020304"/>
    <w:charset w:val="EE"/>
    <w:family w:val="roman"/>
    <w:pitch w:val="variable"/>
    <w:sig w:usb0="E0002EFF" w:usb1="C000785B" w:usb2="00000009" w:usb3="00000000" w:csb0="000001FF" w:csb1="00000000"/>
  </w:font>
  <w:font w:name="Arimo">
    <w:altName w:val="Times New Roman"/>
    <w:charset w:val="00"/>
    <w:family w:val="auto"/>
    <w:pitch w:val="default"/>
    <w:sig w:usb0="00000000" w:usb1="00000000" w:usb2="00000000" w:usb3="00000000" w:csb0="00000000" w:csb1="00000000"/>
  </w:font>
  <w:font w:name="Segoe UI">
    <w:panose1 w:val="020B0502040204020203"/>
    <w:charset w:val="EE"/>
    <w:family w:val="swiss"/>
    <w:pitch w:val="variable"/>
    <w:sig w:usb0="E4002EFF" w:usb1="C000E47F" w:usb2="00000009" w:usb3="00000000" w:csb0="000001FF" w:csb1="00000000"/>
  </w:font>
  <w:font w:name="Arial">
    <w:panose1 w:val="020B0604020202020204"/>
    <w:charset w:val="EE"/>
    <w:family w:val="swiss"/>
    <w:pitch w:val="variable"/>
    <w:sig w:usb0="E0002EFF" w:usb1="C0007843"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2FF" w:usb1="400004FF" w:usb2="00000000" w:usb3="00000000" w:csb0="0000019F" w:csb1="00000000"/>
  </w:font>
</w:fonts>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Asus">
    <w15:presenceInfo w15:providerId="None" w15:userId="Asus"/>
  </w15:person>
</w15:people>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40"/>
  <w:proofState w:spelling="clean" w:grammar="clean"/>
  <w:defaultTabStop w:val="708"/>
  <w:hyphenationZone w:val="425"/>
  <w:characterSpacingControl w:val="doNotCompress"/>
  <w:savePreviewPicture/>
  <w:compat/>
  <w:rsids>
    <w:rsidRoot w:val="00F05577"/>
    <w:rsid w:val="0000378D"/>
    <w:rsid w:val="000136D6"/>
    <w:rsid w:val="00031E6C"/>
    <w:rsid w:val="0015251F"/>
    <w:rsid w:val="001E5E17"/>
    <w:rsid w:val="002B60F4"/>
    <w:rsid w:val="00343DA2"/>
    <w:rsid w:val="00412C31"/>
    <w:rsid w:val="004877A8"/>
    <w:rsid w:val="004E3BE1"/>
    <w:rsid w:val="00546E75"/>
    <w:rsid w:val="00557296"/>
    <w:rsid w:val="00621D6C"/>
    <w:rsid w:val="006D0052"/>
    <w:rsid w:val="006D22C6"/>
    <w:rsid w:val="006F6A48"/>
    <w:rsid w:val="0071792F"/>
    <w:rsid w:val="00756B62"/>
    <w:rsid w:val="00783048"/>
    <w:rsid w:val="00825C98"/>
    <w:rsid w:val="008D405F"/>
    <w:rsid w:val="0096421E"/>
    <w:rsid w:val="009D6937"/>
    <w:rsid w:val="00A23B98"/>
    <w:rsid w:val="00A522C6"/>
    <w:rsid w:val="00A67A39"/>
    <w:rsid w:val="00AA1203"/>
    <w:rsid w:val="00AB19B0"/>
    <w:rsid w:val="00B63167"/>
    <w:rsid w:val="00C34428"/>
    <w:rsid w:val="00C44F6A"/>
    <w:rsid w:val="00C8496F"/>
    <w:rsid w:val="00DC006F"/>
    <w:rsid w:val="00DD0D3C"/>
    <w:rsid w:val="00E33C7E"/>
    <w:rsid w:val="00EF6151"/>
    <w:rsid w:val="00F05577"/>
    <w:rsid w:val="00F06F8C"/>
    <w:rsid w:val="00F903CA"/>
  </w:rsids>
  <m:mathPr>
    <m:mathFont m:val="Cambria Math"/>
    <m:brkBin m:val="before"/>
    <m:brkBinSub m:val="--"/>
    <m:smallFrac m:val="off"/>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819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D405F"/>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6A48"/>
    <w:pPr>
      <w:widowControl w:val="0"/>
      <w:spacing w:after="0" w:line="240" w:lineRule="auto"/>
    </w:pPr>
    <w:rPr>
      <w:rFonts w:ascii="Arimo" w:eastAsia="Arimo" w:hAnsi="Arimo" w:cs="Arimo"/>
      <w:sz w:val="24"/>
      <w:szCs w:val="24"/>
    </w:rPr>
  </w:style>
  <w:style w:type="character" w:styleId="CommentReference">
    <w:name w:val="annotation reference"/>
    <w:basedOn w:val="DefaultParagraphFont"/>
    <w:uiPriority w:val="99"/>
    <w:semiHidden/>
    <w:unhideWhenUsed/>
    <w:rsid w:val="0096421E"/>
    <w:rPr>
      <w:sz w:val="16"/>
      <w:szCs w:val="16"/>
    </w:rPr>
  </w:style>
  <w:style w:type="paragraph" w:styleId="CommentText">
    <w:name w:val="annotation text"/>
    <w:basedOn w:val="Normal"/>
    <w:link w:val="CommentTextChar"/>
    <w:uiPriority w:val="99"/>
    <w:semiHidden/>
    <w:unhideWhenUsed/>
    <w:rsid w:val="0096421E"/>
    <w:pPr>
      <w:spacing w:line="240" w:lineRule="auto"/>
    </w:pPr>
    <w:rPr>
      <w:sz w:val="20"/>
      <w:szCs w:val="20"/>
    </w:rPr>
  </w:style>
  <w:style w:type="character" w:customStyle="1" w:styleId="CommentTextChar">
    <w:name w:val="Comment Text Char"/>
    <w:basedOn w:val="DefaultParagraphFont"/>
    <w:link w:val="CommentText"/>
    <w:uiPriority w:val="99"/>
    <w:semiHidden/>
    <w:rsid w:val="0096421E"/>
    <w:rPr>
      <w:sz w:val="20"/>
      <w:szCs w:val="20"/>
    </w:rPr>
  </w:style>
  <w:style w:type="paragraph" w:styleId="CommentSubject">
    <w:name w:val="annotation subject"/>
    <w:basedOn w:val="CommentText"/>
    <w:next w:val="CommentText"/>
    <w:link w:val="CommentSubjectChar"/>
    <w:uiPriority w:val="99"/>
    <w:semiHidden/>
    <w:unhideWhenUsed/>
    <w:rsid w:val="0096421E"/>
    <w:rPr>
      <w:b/>
      <w:bCs/>
    </w:rPr>
  </w:style>
  <w:style w:type="character" w:customStyle="1" w:styleId="CommentSubjectChar">
    <w:name w:val="Comment Subject Char"/>
    <w:basedOn w:val="CommentTextChar"/>
    <w:link w:val="CommentSubject"/>
    <w:uiPriority w:val="99"/>
    <w:semiHidden/>
    <w:rsid w:val="0096421E"/>
    <w:rPr>
      <w:b/>
      <w:bCs/>
      <w:sz w:val="20"/>
      <w:szCs w:val="20"/>
    </w:rPr>
  </w:style>
  <w:style w:type="paragraph" w:styleId="BalloonText">
    <w:name w:val="Balloon Text"/>
    <w:basedOn w:val="Normal"/>
    <w:link w:val="BalloonTextChar"/>
    <w:uiPriority w:val="99"/>
    <w:semiHidden/>
    <w:unhideWhenUsed/>
    <w:rsid w:val="0096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21E"/>
    <w:rPr>
      <w:rFonts w:ascii="Segoe UI" w:hAnsi="Segoe UI" w:cs="Segoe UI"/>
      <w:sz w:val="18"/>
      <w:szCs w:val="18"/>
    </w:rPr>
  </w:style>
  <w:style w:type="paragraph" w:styleId="NoSpacing">
    <w:name w:val="No Spacing"/>
    <w:link w:val="NoSpacingChar"/>
    <w:uiPriority w:val="1"/>
    <w:qFormat/>
    <w:rsid w:val="00DC006F"/>
    <w:pPr>
      <w:spacing w:after="0" w:line="240" w:lineRule="auto"/>
    </w:pPr>
    <w:rPr>
      <w:rFonts w:ascii="Calibri" w:eastAsia="Calibri" w:hAnsi="Calibri" w:cs="Times New Roman"/>
    </w:rPr>
  </w:style>
  <w:style w:type="character" w:customStyle="1" w:styleId="NoSpacingChar">
    <w:name w:val="No Spacing Char"/>
    <w:link w:val="NoSpacing"/>
    <w:uiPriority w:val="1"/>
    <w:rsid w:val="00DC006F"/>
    <w:rPr>
      <w:rFonts w:ascii="Calibri" w:eastAsia="Calibri" w:hAnsi="Calibri" w:cs="Times New Roman"/>
    </w:rPr>
  </w:style>
  <w:style w:type="table" w:styleId="TableGrid">
    <w:name w:val="Table Grid"/>
    <w:basedOn w:val="TableNormal"/>
    <w:uiPriority w:val="59"/>
    <w:rsid w:val="00DC006F"/>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ro-RO"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1">
    <w:name w:val="Normal1"/>
    <w:rsid w:val="006F6A48"/>
    <w:pPr>
      <w:widowControl w:val="0"/>
      <w:spacing w:after="0" w:line="240" w:lineRule="auto"/>
    </w:pPr>
    <w:rPr>
      <w:rFonts w:ascii="Arimo" w:eastAsia="Arimo" w:hAnsi="Arimo" w:cs="Arimo"/>
      <w:sz w:val="24"/>
      <w:szCs w:val="24"/>
    </w:rPr>
  </w:style>
  <w:style w:type="character" w:styleId="CommentReference">
    <w:name w:val="annotation reference"/>
    <w:basedOn w:val="DefaultParagraphFont"/>
    <w:uiPriority w:val="99"/>
    <w:semiHidden/>
    <w:unhideWhenUsed/>
    <w:rsid w:val="0096421E"/>
    <w:rPr>
      <w:sz w:val="16"/>
      <w:szCs w:val="16"/>
    </w:rPr>
  </w:style>
  <w:style w:type="paragraph" w:styleId="CommentText">
    <w:name w:val="annotation text"/>
    <w:basedOn w:val="Normal"/>
    <w:link w:val="CommentTextChar"/>
    <w:uiPriority w:val="99"/>
    <w:semiHidden/>
    <w:unhideWhenUsed/>
    <w:rsid w:val="0096421E"/>
    <w:pPr>
      <w:spacing w:line="240" w:lineRule="auto"/>
    </w:pPr>
    <w:rPr>
      <w:sz w:val="20"/>
      <w:szCs w:val="20"/>
    </w:rPr>
  </w:style>
  <w:style w:type="character" w:customStyle="1" w:styleId="CommentTextChar">
    <w:name w:val="Comment Text Char"/>
    <w:basedOn w:val="DefaultParagraphFont"/>
    <w:link w:val="CommentText"/>
    <w:uiPriority w:val="99"/>
    <w:semiHidden/>
    <w:rsid w:val="0096421E"/>
    <w:rPr>
      <w:sz w:val="20"/>
      <w:szCs w:val="20"/>
    </w:rPr>
  </w:style>
  <w:style w:type="paragraph" w:styleId="CommentSubject">
    <w:name w:val="annotation subject"/>
    <w:basedOn w:val="CommentText"/>
    <w:next w:val="CommentText"/>
    <w:link w:val="CommentSubjectChar"/>
    <w:uiPriority w:val="99"/>
    <w:semiHidden/>
    <w:unhideWhenUsed/>
    <w:rsid w:val="0096421E"/>
    <w:rPr>
      <w:b/>
      <w:bCs/>
    </w:rPr>
  </w:style>
  <w:style w:type="character" w:customStyle="1" w:styleId="CommentSubjectChar">
    <w:name w:val="Comment Subject Char"/>
    <w:basedOn w:val="CommentTextChar"/>
    <w:link w:val="CommentSubject"/>
    <w:uiPriority w:val="99"/>
    <w:semiHidden/>
    <w:rsid w:val="0096421E"/>
    <w:rPr>
      <w:b/>
      <w:bCs/>
      <w:sz w:val="20"/>
      <w:szCs w:val="20"/>
    </w:rPr>
  </w:style>
  <w:style w:type="paragraph" w:styleId="BalloonText">
    <w:name w:val="Balloon Text"/>
    <w:basedOn w:val="Normal"/>
    <w:link w:val="BalloonTextChar"/>
    <w:uiPriority w:val="99"/>
    <w:semiHidden/>
    <w:unhideWhenUsed/>
    <w:rsid w:val="0096421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6421E"/>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microsoft.com/office/2011/relationships/commentsExtended" Target="commentsExtended.xml"/><Relationship Id="rId3" Type="http://schemas.openxmlformats.org/officeDocument/2006/relationships/webSettings" Target="webSettings.xml"/><Relationship Id="rId7" Type="http://schemas.microsoft.com/office/2011/relationships/people" Target="people.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9" Type="http://schemas.microsoft.com/office/2007/relationships/stylesWithEffects" Target="stylesWithEffect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2</Pages>
  <Words>946</Words>
  <Characters>5488</Characters>
  <Application>Microsoft Office Word</Application>
  <DocSecurity>0</DocSecurity>
  <Lines>45</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6422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Cornel Militaru</dc:creator>
  <cp:lastModifiedBy>vbirda</cp:lastModifiedBy>
  <cp:revision>7</cp:revision>
  <cp:lastPrinted>2022-07-08T09:30:00Z</cp:lastPrinted>
  <dcterms:created xsi:type="dcterms:W3CDTF">2022-07-08T08:33:00Z</dcterms:created>
  <dcterms:modified xsi:type="dcterms:W3CDTF">2022-07-11T09:57:00Z</dcterms:modified>
</cp:coreProperties>
</file>