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E41" w:rsidRPr="00C75777" w:rsidRDefault="000D6A29" w:rsidP="00C75777">
      <w:pPr>
        <w:pStyle w:val="Header"/>
        <w:ind w:left="709"/>
        <w:rPr>
          <w:rFonts w:ascii="Times New Roman" w:hAnsi="Times New Roman"/>
          <w:b/>
        </w:rPr>
      </w:pPr>
      <w:r w:rsidRPr="000D6A29">
        <w:rPr>
          <w:rFonts w:ascii="Times New Roman" w:hAnsi="Times New Roman"/>
          <w:b/>
          <w:noProof/>
          <w:lang w:val="en-US"/>
        </w:rPr>
        <w:drawing>
          <wp:anchor distT="0" distB="0" distL="114300" distR="114300" simplePos="0" relativeHeight="251659264" behindDoc="1" locked="0" layoutInCell="1" allowOverlap="1">
            <wp:simplePos x="0" y="0"/>
            <wp:positionH relativeFrom="column">
              <wp:posOffset>-99695</wp:posOffset>
            </wp:positionH>
            <wp:positionV relativeFrom="paragraph">
              <wp:posOffset>19050</wp:posOffset>
            </wp:positionV>
            <wp:extent cx="476250" cy="723900"/>
            <wp:effectExtent l="19050" t="0" r="0" b="0"/>
            <wp:wrapThrough wrapText="bothSides">
              <wp:wrapPolygon edited="0">
                <wp:start x="4320" y="0"/>
                <wp:lineTo x="1728" y="0"/>
                <wp:lineTo x="-864" y="9095"/>
                <wp:lineTo x="-864" y="13074"/>
                <wp:lineTo x="1728" y="18189"/>
                <wp:lineTo x="6912" y="21032"/>
                <wp:lineTo x="7776" y="21032"/>
                <wp:lineTo x="13824" y="21032"/>
                <wp:lineTo x="14688" y="21032"/>
                <wp:lineTo x="19008" y="18758"/>
                <wp:lineTo x="19872" y="18189"/>
                <wp:lineTo x="21600" y="13074"/>
                <wp:lineTo x="21600" y="5684"/>
                <wp:lineTo x="20736" y="2842"/>
                <wp:lineTo x="18144" y="0"/>
                <wp:lineTo x="4320" y="0"/>
              </wp:wrapPolygon>
            </wp:wrapThrough>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 cy="723900"/>
                    </a:xfrm>
                    <a:prstGeom prst="rect">
                      <a:avLst/>
                    </a:prstGeom>
                    <a:noFill/>
                    <a:ln>
                      <a:noFill/>
                    </a:ln>
                  </pic:spPr>
                </pic:pic>
              </a:graphicData>
            </a:graphic>
          </wp:anchor>
        </w:drawing>
      </w:r>
      <w:r w:rsidR="00A15E41" w:rsidRPr="00C75777">
        <w:rPr>
          <w:rFonts w:ascii="Times New Roman" w:hAnsi="Times New Roman"/>
          <w:b/>
        </w:rPr>
        <w:t>ROMÂNIA</w:t>
      </w:r>
    </w:p>
    <w:p w:rsidR="00A15E41" w:rsidRPr="00C75777" w:rsidRDefault="00A15E41" w:rsidP="00C75777">
      <w:pPr>
        <w:pStyle w:val="Header"/>
        <w:ind w:left="709"/>
        <w:rPr>
          <w:rFonts w:ascii="Times New Roman" w:hAnsi="Times New Roman"/>
          <w:b/>
        </w:rPr>
      </w:pPr>
      <w:r w:rsidRPr="00C75777">
        <w:rPr>
          <w:rFonts w:ascii="Times New Roman" w:hAnsi="Times New Roman"/>
          <w:b/>
        </w:rPr>
        <w:t>JUDEŢUL TIMIŞ</w:t>
      </w:r>
    </w:p>
    <w:p w:rsidR="00A15E41" w:rsidRPr="00C75777" w:rsidRDefault="00A15E41" w:rsidP="00C75777">
      <w:pPr>
        <w:pStyle w:val="Header"/>
        <w:ind w:left="709"/>
        <w:rPr>
          <w:rFonts w:ascii="Times New Roman" w:hAnsi="Times New Roman"/>
          <w:b/>
        </w:rPr>
      </w:pPr>
      <w:r w:rsidRPr="00C75777">
        <w:rPr>
          <w:rFonts w:ascii="Times New Roman" w:hAnsi="Times New Roman"/>
          <w:b/>
        </w:rPr>
        <w:t>MUNICIPIUL TIMIŞOARA</w:t>
      </w:r>
    </w:p>
    <w:p w:rsidR="00C52A77" w:rsidRDefault="007A5508" w:rsidP="00C75777">
      <w:pPr>
        <w:pStyle w:val="Header"/>
        <w:ind w:left="709"/>
        <w:rPr>
          <w:rFonts w:ascii="Times New Roman" w:hAnsi="Times New Roman"/>
          <w:b/>
        </w:rPr>
      </w:pPr>
      <w:r>
        <w:rPr>
          <w:rFonts w:ascii="Times New Roman" w:hAnsi="Times New Roman"/>
          <w:b/>
        </w:rPr>
        <w:t>PRIMAR</w:t>
      </w:r>
    </w:p>
    <w:p w:rsidR="00007A6F" w:rsidRDefault="000D6A29" w:rsidP="00C75777">
      <w:pPr>
        <w:pStyle w:val="Header"/>
        <w:ind w:left="709"/>
        <w:rPr>
          <w:rFonts w:ascii="Times New Roman" w:hAnsi="Times New Roman"/>
          <w:b/>
        </w:rPr>
      </w:pPr>
      <w:r>
        <w:rPr>
          <w:rFonts w:ascii="Times New Roman" w:hAnsi="Times New Roman"/>
          <w:b/>
        </w:rPr>
        <w:t xml:space="preserve"> </w:t>
      </w:r>
      <w:r w:rsidR="00007A6F" w:rsidRPr="002D1E75">
        <w:rPr>
          <w:rFonts w:ascii="Times New Roman" w:hAnsi="Times New Roman"/>
          <w:b/>
        </w:rPr>
        <w:t>SC 2022-</w:t>
      </w:r>
      <w:r w:rsidR="00007A6F">
        <w:rPr>
          <w:rFonts w:ascii="Times New Roman" w:hAnsi="Times New Roman"/>
          <w:b/>
        </w:rPr>
        <w:t xml:space="preserve"> </w:t>
      </w:r>
      <w:r w:rsidR="00A413A1">
        <w:rPr>
          <w:rFonts w:ascii="Times New Roman" w:hAnsi="Times New Roman"/>
          <w:b/>
        </w:rPr>
        <w:t>18992/28.07.2022</w:t>
      </w:r>
    </w:p>
    <w:p w:rsidR="00007A6F" w:rsidRPr="00C75777" w:rsidRDefault="00007A6F" w:rsidP="00C75777">
      <w:pPr>
        <w:tabs>
          <w:tab w:val="left" w:pos="76"/>
        </w:tabs>
        <w:autoSpaceDE w:val="0"/>
        <w:autoSpaceDN w:val="0"/>
        <w:adjustRightInd w:val="0"/>
        <w:ind w:left="-284" w:firstLine="720"/>
        <w:rPr>
          <w:b/>
        </w:rPr>
      </w:pPr>
    </w:p>
    <w:p w:rsidR="002D1E75" w:rsidRDefault="002D1E75" w:rsidP="001634A1">
      <w:pPr>
        <w:jc w:val="center"/>
        <w:rPr>
          <w:b/>
          <w:color w:val="000000"/>
          <w:sz w:val="28"/>
          <w:szCs w:val="28"/>
          <w:u w:val="single"/>
        </w:rPr>
      </w:pPr>
    </w:p>
    <w:p w:rsidR="006E21A4" w:rsidRPr="00C75777" w:rsidRDefault="00C52A77" w:rsidP="001634A1">
      <w:pPr>
        <w:jc w:val="center"/>
        <w:rPr>
          <w:b/>
          <w:color w:val="000000"/>
          <w:sz w:val="28"/>
          <w:szCs w:val="28"/>
          <w:u w:val="single"/>
        </w:rPr>
      </w:pPr>
      <w:r>
        <w:rPr>
          <w:b/>
          <w:color w:val="000000"/>
          <w:sz w:val="28"/>
          <w:szCs w:val="28"/>
          <w:u w:val="single"/>
        </w:rPr>
        <w:t xml:space="preserve">REFERAT DE APROBARE A </w:t>
      </w:r>
      <w:r w:rsidR="006E21A4" w:rsidRPr="00C75777">
        <w:rPr>
          <w:b/>
          <w:color w:val="000000"/>
          <w:sz w:val="28"/>
          <w:szCs w:val="28"/>
          <w:u w:val="single"/>
        </w:rPr>
        <w:t>PROIECTULUI DE HOTĂR</w:t>
      </w:r>
      <w:r w:rsidR="00E32F75" w:rsidRPr="00C75777">
        <w:rPr>
          <w:b/>
          <w:color w:val="000000"/>
          <w:sz w:val="28"/>
          <w:szCs w:val="28"/>
          <w:u w:val="single"/>
        </w:rPr>
        <w:t>Â</w:t>
      </w:r>
      <w:r w:rsidR="006E21A4" w:rsidRPr="00C75777">
        <w:rPr>
          <w:b/>
          <w:color w:val="000000"/>
          <w:sz w:val="28"/>
          <w:szCs w:val="28"/>
          <w:u w:val="single"/>
        </w:rPr>
        <w:t>RE</w:t>
      </w:r>
    </w:p>
    <w:p w:rsidR="00851ECF" w:rsidRDefault="00851ECF" w:rsidP="00851ECF">
      <w:pPr>
        <w:tabs>
          <w:tab w:val="left" w:pos="360"/>
        </w:tabs>
        <w:ind w:left="360"/>
        <w:jc w:val="center"/>
        <w:rPr>
          <w:b/>
          <w:i/>
          <w:lang w:eastAsia="ar-SA"/>
        </w:rPr>
      </w:pPr>
      <w:r w:rsidRPr="00B10FF7">
        <w:rPr>
          <w:b/>
          <w:i/>
        </w:rPr>
        <w:t>privind</w:t>
      </w:r>
      <w:r>
        <w:rPr>
          <w:b/>
          <w:i/>
        </w:rPr>
        <w:t xml:space="preserve"> </w:t>
      </w:r>
      <w:r w:rsidR="00A413A1">
        <w:rPr>
          <w:b/>
          <w:i/>
        </w:rPr>
        <w:t>încetarea activității</w:t>
      </w:r>
      <w:r w:rsidRPr="002D1E75">
        <w:rPr>
          <w:b/>
          <w:i/>
          <w:lang w:eastAsia="ar-SA"/>
        </w:rPr>
        <w:t xml:space="preserve"> unității de învățământ antepreșcolar </w:t>
      </w:r>
      <w:r>
        <w:rPr>
          <w:b/>
          <w:i/>
          <w:lang w:eastAsia="ar-SA"/>
        </w:rPr>
        <w:t xml:space="preserve">cu </w:t>
      </w:r>
    </w:p>
    <w:p w:rsidR="00851ECF" w:rsidRPr="00690D20" w:rsidRDefault="00851ECF" w:rsidP="00851ECF">
      <w:pPr>
        <w:tabs>
          <w:tab w:val="left" w:pos="360"/>
        </w:tabs>
        <w:ind w:left="360"/>
        <w:jc w:val="center"/>
        <w:rPr>
          <w:b/>
          <w:i/>
        </w:rPr>
      </w:pPr>
      <w:r>
        <w:rPr>
          <w:b/>
          <w:i/>
          <w:lang w:eastAsia="ar-SA"/>
        </w:rPr>
        <w:t>personalitate juridică ”</w:t>
      </w:r>
      <w:r w:rsidRPr="002D1E75">
        <w:rPr>
          <w:b/>
          <w:i/>
          <w:lang w:eastAsia="ar-SA"/>
        </w:rPr>
        <w:t>Creșa Timișoara</w:t>
      </w:r>
      <w:r>
        <w:rPr>
          <w:b/>
          <w:i/>
          <w:lang w:eastAsia="ar-SA"/>
        </w:rPr>
        <w:t>”</w:t>
      </w:r>
    </w:p>
    <w:p w:rsidR="000D6A29" w:rsidRDefault="000D6A29" w:rsidP="002D1E75">
      <w:pPr>
        <w:jc w:val="center"/>
        <w:rPr>
          <w:bCs/>
        </w:rPr>
      </w:pPr>
    </w:p>
    <w:p w:rsidR="0080691C" w:rsidRDefault="008569A1" w:rsidP="002D1E75">
      <w:pPr>
        <w:jc w:val="center"/>
        <w:rPr>
          <w:bCs/>
        </w:rPr>
      </w:pPr>
      <w:r>
        <w:rPr>
          <w:bCs/>
        </w:rPr>
        <w:t xml:space="preserve"> </w:t>
      </w:r>
    </w:p>
    <w:p w:rsidR="008569A1" w:rsidRDefault="0080691C" w:rsidP="00BE7B96">
      <w:pPr>
        <w:autoSpaceDE w:val="0"/>
        <w:autoSpaceDN w:val="0"/>
        <w:adjustRightInd w:val="0"/>
        <w:jc w:val="both"/>
        <w:rPr>
          <w:b/>
          <w:bCs/>
          <w:color w:val="000000"/>
        </w:rPr>
      </w:pPr>
      <w:r w:rsidRPr="0080691C">
        <w:rPr>
          <w:color w:val="000000"/>
        </w:rPr>
        <w:t xml:space="preserve">          </w:t>
      </w:r>
      <w:r w:rsidR="003C27F5">
        <w:rPr>
          <w:color w:val="000000"/>
        </w:rPr>
        <w:t xml:space="preserve"> </w:t>
      </w:r>
      <w:r w:rsidRPr="0080691C">
        <w:rPr>
          <w:color w:val="000000"/>
        </w:rPr>
        <w:t xml:space="preserve"> Țin</w:t>
      </w:r>
      <w:r>
        <w:rPr>
          <w:color w:val="000000"/>
        </w:rPr>
        <w:t xml:space="preserve">ând cont </w:t>
      </w:r>
      <w:r w:rsidRPr="0080691C">
        <w:rPr>
          <w:color w:val="000000"/>
        </w:rPr>
        <w:t xml:space="preserve">de </w:t>
      </w:r>
      <w:r w:rsidRPr="0080691C">
        <w:rPr>
          <w:b/>
          <w:bCs/>
          <w:color w:val="000000"/>
        </w:rPr>
        <w:t xml:space="preserve">HCL nr 291/21.06.2022 </w:t>
      </w:r>
      <w:r w:rsidRPr="001614FB">
        <w:rPr>
          <w:i/>
          <w:iCs/>
          <w:color w:val="000000"/>
        </w:rPr>
        <w:t>privind aprobarea arondării unităților de învățământ antepreșcolar din cadrul Creșei Timișoara la unitățile de învățământ care au nivel preșcolar cu program prelungit cu personalitate juridică sau unităților de învățământ care au în structură învățământ preșcolar de pe raza U.A.T. Municipiul Timișoara</w:t>
      </w:r>
      <w:r w:rsidR="008569A1">
        <w:rPr>
          <w:b/>
          <w:bCs/>
          <w:color w:val="000000"/>
        </w:rPr>
        <w:t>,</w:t>
      </w:r>
    </w:p>
    <w:p w:rsidR="0080691C" w:rsidRPr="008207FA" w:rsidRDefault="008569A1" w:rsidP="003C27F5">
      <w:pPr>
        <w:autoSpaceDE w:val="0"/>
        <w:autoSpaceDN w:val="0"/>
        <w:adjustRightInd w:val="0"/>
        <w:rPr>
          <w:lang w:val="ro-RO"/>
        </w:rPr>
      </w:pPr>
      <w:r>
        <w:rPr>
          <w:b/>
          <w:bCs/>
          <w:color w:val="000000"/>
        </w:rPr>
        <w:tab/>
      </w:r>
    </w:p>
    <w:p w:rsidR="0003080D" w:rsidRDefault="0003080D" w:rsidP="0003080D">
      <w:pPr>
        <w:ind w:firstLine="720"/>
        <w:jc w:val="both"/>
        <w:rPr>
          <w:bCs/>
          <w:lang w:val="ro-RO"/>
        </w:rPr>
      </w:pPr>
      <w:r>
        <w:rPr>
          <w:bCs/>
          <w:lang w:val="ro-RO"/>
        </w:rPr>
        <w:t>Ținând cont de</w:t>
      </w:r>
      <w:r w:rsidR="007264C9">
        <w:rPr>
          <w:bCs/>
          <w:lang w:val="ro-RO"/>
        </w:rPr>
        <w:t xml:space="preserve"> prevederile</w:t>
      </w:r>
      <w:r>
        <w:rPr>
          <w:bCs/>
          <w:lang w:val="ro-RO"/>
        </w:rPr>
        <w:t>:</w:t>
      </w:r>
    </w:p>
    <w:p w:rsidR="007527ED" w:rsidRPr="007527ED" w:rsidRDefault="007527ED" w:rsidP="007527ED">
      <w:pPr>
        <w:numPr>
          <w:ilvl w:val="0"/>
          <w:numId w:val="11"/>
        </w:numPr>
        <w:suppressAutoHyphens/>
        <w:jc w:val="both"/>
        <w:rPr>
          <w:lang w:val="ro-RO"/>
        </w:rPr>
      </w:pPr>
      <w:r w:rsidRPr="007527ED">
        <w:rPr>
          <w:b/>
          <w:bCs/>
          <w:lang w:val="ro-RO"/>
        </w:rPr>
        <w:t>Legii nr. 1/2011</w:t>
      </w:r>
      <w:r w:rsidRPr="007527ED">
        <w:rPr>
          <w:lang w:val="ro-RO"/>
        </w:rPr>
        <w:t xml:space="preserve"> a educației naționale, cu modificările și completările ulterioare;</w:t>
      </w:r>
    </w:p>
    <w:p w:rsidR="007527ED" w:rsidRPr="007527ED" w:rsidRDefault="007527ED" w:rsidP="007527ED">
      <w:pPr>
        <w:numPr>
          <w:ilvl w:val="0"/>
          <w:numId w:val="11"/>
        </w:numPr>
        <w:suppressAutoHyphens/>
        <w:jc w:val="both"/>
        <w:rPr>
          <w:lang w:val="ro-RO"/>
        </w:rPr>
      </w:pPr>
      <w:r w:rsidRPr="007527ED">
        <w:rPr>
          <w:b/>
          <w:bCs/>
          <w:iCs/>
          <w:szCs w:val="20"/>
          <w:lang w:val="ro-RO"/>
        </w:rPr>
        <w:t>OUG nr. 100/2021</w:t>
      </w:r>
      <w:r w:rsidRPr="007527ED">
        <w:rPr>
          <w:szCs w:val="20"/>
          <w:lang w:val="ro-RO"/>
        </w:rPr>
        <w:t xml:space="preserve"> pentru modificarea şi completarea Legii educaţiei naţionale nr.1/2011 şi abrogarea unor acte normative din domeniul protecţiei sociale;</w:t>
      </w:r>
    </w:p>
    <w:p w:rsidR="007527ED" w:rsidRPr="007527ED" w:rsidRDefault="007527ED" w:rsidP="007527ED">
      <w:pPr>
        <w:numPr>
          <w:ilvl w:val="0"/>
          <w:numId w:val="11"/>
        </w:numPr>
        <w:suppressAutoHyphens/>
        <w:jc w:val="both"/>
        <w:rPr>
          <w:lang w:val="ro-RO"/>
        </w:rPr>
      </w:pPr>
      <w:r w:rsidRPr="007527ED">
        <w:rPr>
          <w:b/>
          <w:bCs/>
          <w:szCs w:val="20"/>
          <w:lang w:val="ro-RO"/>
        </w:rPr>
        <w:t>Legii nr. 17/2022</w:t>
      </w:r>
      <w:r w:rsidRPr="007527ED">
        <w:rPr>
          <w:szCs w:val="20"/>
          <w:lang w:val="ro-RO"/>
        </w:rPr>
        <w:t xml:space="preserve"> privind aprobarea Ordonanţei de urgenţă a Guvernului nr.100/2021 pentru modificarea şi completarea Legii educaţiei naţionale nr.1/2011 şi abrogarea unor acte normative din domeniul protecţiei sociale;</w:t>
      </w:r>
    </w:p>
    <w:p w:rsidR="007527ED" w:rsidRPr="007527ED" w:rsidRDefault="007527ED" w:rsidP="007527ED">
      <w:pPr>
        <w:numPr>
          <w:ilvl w:val="0"/>
          <w:numId w:val="11"/>
        </w:numPr>
        <w:suppressAutoHyphens/>
        <w:jc w:val="both"/>
        <w:rPr>
          <w:color w:val="000000"/>
          <w:shd w:val="clear" w:color="auto" w:fill="FFFFFF"/>
          <w:lang w:eastAsia="ar-SA"/>
        </w:rPr>
      </w:pPr>
      <w:r w:rsidRPr="007527ED">
        <w:rPr>
          <w:b/>
          <w:bCs/>
          <w:iCs/>
          <w:color w:val="000000"/>
          <w:shd w:val="clear" w:color="auto" w:fill="FFFFFF"/>
          <w:lang w:eastAsia="ar-SA"/>
        </w:rPr>
        <w:t>HG nr. 566/28.04.2022</w:t>
      </w:r>
      <w:r w:rsidRPr="007527ED">
        <w:rPr>
          <w:iCs/>
          <w:color w:val="000000"/>
          <w:shd w:val="clear" w:color="auto" w:fill="FFFFFF"/>
          <w:lang w:eastAsia="ar-SA"/>
        </w:rPr>
        <w:t xml:space="preserve"> </w:t>
      </w:r>
      <w:r w:rsidRPr="007527ED">
        <w:rPr>
          <w:color w:val="000000"/>
          <w:shd w:val="clear" w:color="auto" w:fill="FFFFFF"/>
          <w:lang w:eastAsia="ar-SA"/>
        </w:rPr>
        <w:t>privind aprobarea Metodologiei de organizare şi funcţionare a creşelor şi a altor unităţi de educaţie timpurie antepreşcolară</w:t>
      </w:r>
      <w:r w:rsidRPr="007527ED">
        <w:rPr>
          <w:color w:val="000000"/>
          <w:shd w:val="clear" w:color="auto" w:fill="FFFFFF"/>
          <w:lang w:val="ro-RO" w:eastAsia="ar-SA"/>
        </w:rPr>
        <w:t>;</w:t>
      </w:r>
    </w:p>
    <w:p w:rsidR="007527ED" w:rsidRPr="007527ED" w:rsidRDefault="007527ED" w:rsidP="007527ED">
      <w:pPr>
        <w:numPr>
          <w:ilvl w:val="0"/>
          <w:numId w:val="11"/>
        </w:numPr>
        <w:suppressAutoHyphens/>
        <w:contextualSpacing/>
        <w:jc w:val="both"/>
        <w:rPr>
          <w:bCs/>
          <w:lang w:eastAsia="ar-SA"/>
        </w:rPr>
      </w:pPr>
      <w:r w:rsidRPr="007527ED">
        <w:rPr>
          <w:b/>
          <w:bCs/>
          <w:lang w:eastAsia="ar-SA"/>
        </w:rPr>
        <w:t xml:space="preserve">HCL nr. </w:t>
      </w:r>
      <w:r w:rsidRPr="007527ED">
        <w:rPr>
          <w:b/>
          <w:bCs/>
          <w:lang w:eastAsia="en-GB"/>
        </w:rPr>
        <w:t>108/05.04.2016</w:t>
      </w:r>
      <w:r w:rsidRPr="007527ED">
        <w:rPr>
          <w:lang w:eastAsia="en-GB"/>
        </w:rPr>
        <w:t xml:space="preserve"> </w:t>
      </w:r>
      <w:r w:rsidRPr="007527ED">
        <w:rPr>
          <w:rFonts w:eastAsia="Calibri"/>
          <w:bCs/>
          <w:color w:val="000000"/>
        </w:rPr>
        <w:t>privind înființarea Serviciului Public Crese si aprobarea Regulamentului de Organizare si Functionare pentru Serviciului Public Crese Timisoara</w:t>
      </w:r>
      <w:r w:rsidRPr="007527ED">
        <w:rPr>
          <w:rFonts w:eastAsia="Calibri"/>
          <w:bCs/>
          <w:color w:val="000000"/>
          <w:lang w:val="ro-RO"/>
        </w:rPr>
        <w:t>;</w:t>
      </w:r>
    </w:p>
    <w:p w:rsidR="007527ED" w:rsidRPr="007527ED" w:rsidRDefault="007527ED" w:rsidP="007527ED">
      <w:pPr>
        <w:numPr>
          <w:ilvl w:val="0"/>
          <w:numId w:val="11"/>
        </w:numPr>
        <w:suppressAutoHyphens/>
        <w:contextualSpacing/>
        <w:jc w:val="both"/>
        <w:rPr>
          <w:bCs/>
          <w:lang w:eastAsia="ar-SA"/>
        </w:rPr>
      </w:pPr>
      <w:r w:rsidRPr="007527ED">
        <w:rPr>
          <w:b/>
          <w:lang w:eastAsia="ar-SA"/>
        </w:rPr>
        <w:t>HCL nr. 48/03.08.2016</w:t>
      </w:r>
      <w:r w:rsidRPr="007527ED">
        <w:rPr>
          <w:bCs/>
          <w:lang w:eastAsia="ar-SA"/>
        </w:rPr>
        <w:t xml:space="preserve"> privind reorganizarea Serviciului Public Creșe Timișoara;</w:t>
      </w:r>
    </w:p>
    <w:p w:rsidR="007527ED" w:rsidRPr="007527ED" w:rsidRDefault="007527ED" w:rsidP="007527ED">
      <w:pPr>
        <w:numPr>
          <w:ilvl w:val="0"/>
          <w:numId w:val="11"/>
        </w:numPr>
        <w:suppressAutoHyphens/>
        <w:contextualSpacing/>
        <w:jc w:val="both"/>
        <w:rPr>
          <w:bCs/>
          <w:lang w:eastAsia="ar-SA"/>
        </w:rPr>
      </w:pPr>
      <w:r w:rsidRPr="007527ED">
        <w:rPr>
          <w:b/>
          <w:bCs/>
          <w:lang w:eastAsia="ar-SA"/>
        </w:rPr>
        <w:t>HCL nr. 254/22.05.2018</w:t>
      </w:r>
      <w:r w:rsidRPr="007527ED">
        <w:rPr>
          <w:lang w:eastAsia="ar-SA"/>
        </w:rPr>
        <w:t xml:space="preserve"> privind modificarea și aprobarea Organigramei, a Statului de Funcții și a Regulamentului de Organizare și Funcționare pentru Serviciul Public Creșe Timișoara</w:t>
      </w:r>
      <w:r w:rsidRPr="007527ED">
        <w:rPr>
          <w:bCs/>
          <w:lang w:eastAsia="ar-SA"/>
        </w:rPr>
        <w:t>;</w:t>
      </w:r>
    </w:p>
    <w:p w:rsidR="007527ED" w:rsidRPr="007527ED" w:rsidRDefault="007527ED" w:rsidP="007527ED">
      <w:pPr>
        <w:numPr>
          <w:ilvl w:val="0"/>
          <w:numId w:val="11"/>
        </w:numPr>
        <w:suppressAutoHyphens/>
        <w:jc w:val="both"/>
        <w:rPr>
          <w:color w:val="000000"/>
          <w:shd w:val="clear" w:color="auto" w:fill="FFFFFF"/>
          <w:lang w:eastAsia="ar-SA"/>
        </w:rPr>
      </w:pPr>
      <w:r w:rsidRPr="007527ED">
        <w:rPr>
          <w:b/>
          <w:bCs/>
          <w:iCs/>
          <w:color w:val="000000"/>
          <w:shd w:val="clear" w:color="auto" w:fill="FFFFFF"/>
          <w:lang w:eastAsia="ar-SA"/>
        </w:rPr>
        <w:t>HCL nr. 104/06.04.2022</w:t>
      </w:r>
      <w:r w:rsidRPr="007527ED">
        <w:rPr>
          <w:iCs/>
          <w:color w:val="000000"/>
          <w:shd w:val="clear" w:color="auto" w:fill="FFFFFF"/>
          <w:lang w:eastAsia="ar-SA"/>
        </w:rPr>
        <w:t xml:space="preserve"> </w:t>
      </w:r>
      <w:r w:rsidRPr="007527ED">
        <w:rPr>
          <w:color w:val="000000"/>
          <w:shd w:val="clear" w:color="auto" w:fill="FFFFFF"/>
          <w:lang w:eastAsia="ar-SA"/>
        </w:rPr>
        <w:t>privind recunoașterea statutului de ”unitate de învățământ cu personalitate juridică”, dobândit prin efectul Legii nr.17/2022 și aprobarea schimbării denumirii serviciului public de interes local din ”Serviciul Public Creșe Timișoara” în ”Creșa Timișoara”;</w:t>
      </w:r>
    </w:p>
    <w:p w:rsidR="007527ED" w:rsidRPr="007527ED" w:rsidRDefault="007527ED" w:rsidP="007527ED">
      <w:pPr>
        <w:numPr>
          <w:ilvl w:val="0"/>
          <w:numId w:val="11"/>
        </w:numPr>
        <w:suppressAutoHyphens/>
        <w:jc w:val="both"/>
        <w:rPr>
          <w:lang w:eastAsia="ar-SA"/>
        </w:rPr>
      </w:pPr>
      <w:r w:rsidRPr="007527ED">
        <w:rPr>
          <w:b/>
          <w:bCs/>
          <w:color w:val="000000"/>
          <w:lang w:eastAsia="ar-SA"/>
        </w:rPr>
        <w:t>HCL nr. 291/21.06.2022</w:t>
      </w:r>
      <w:r w:rsidRPr="007527ED">
        <w:rPr>
          <w:color w:val="000000"/>
          <w:lang w:eastAsia="ar-SA"/>
        </w:rPr>
        <w:t xml:space="preserve"> privind aprobarea arondării unităților de învățământ antepreșcolar din cadrul Creșei Timișoara la unitățile de învățământ care au nivel preșcolar cu program prelungit cu personalitate juridică sau unităților de învățământ care au în structură învățământ preșcolar de pe raza U.A.T. Municipiul Timișoara;</w:t>
      </w:r>
    </w:p>
    <w:p w:rsidR="007527ED" w:rsidRPr="007527ED" w:rsidRDefault="007527ED" w:rsidP="007527ED">
      <w:pPr>
        <w:numPr>
          <w:ilvl w:val="0"/>
          <w:numId w:val="11"/>
        </w:numPr>
        <w:shd w:val="clear" w:color="auto" w:fill="FFFFFF"/>
        <w:suppressAutoHyphens/>
        <w:spacing w:before="100" w:beforeAutospacing="1"/>
        <w:jc w:val="both"/>
        <w:rPr>
          <w:color w:val="111111"/>
        </w:rPr>
      </w:pPr>
      <w:r w:rsidRPr="007527ED">
        <w:rPr>
          <w:b/>
          <w:bCs/>
          <w:color w:val="111111"/>
        </w:rPr>
        <w:t>Legii contabilității nr. 82/1991</w:t>
      </w:r>
      <w:r w:rsidRPr="007527ED">
        <w:rPr>
          <w:color w:val="111111"/>
        </w:rPr>
        <w:t>, republicată în Monitorul Oficial nr. 454/18.06.2008, cu modificările și completările ulterioare;</w:t>
      </w:r>
    </w:p>
    <w:p w:rsidR="007527ED" w:rsidRPr="007527ED" w:rsidRDefault="007527ED" w:rsidP="007527ED">
      <w:pPr>
        <w:numPr>
          <w:ilvl w:val="0"/>
          <w:numId w:val="11"/>
        </w:numPr>
        <w:shd w:val="clear" w:color="auto" w:fill="FFFFFF"/>
        <w:suppressAutoHyphens/>
        <w:spacing w:before="100" w:beforeAutospacing="1"/>
        <w:jc w:val="both"/>
        <w:rPr>
          <w:color w:val="111111"/>
        </w:rPr>
      </w:pPr>
      <w:r w:rsidRPr="007527ED">
        <w:rPr>
          <w:b/>
          <w:bCs/>
          <w:color w:val="111111"/>
        </w:rPr>
        <w:t>Legii nr. 273/2006</w:t>
      </w:r>
      <w:r w:rsidRPr="007527ED">
        <w:rPr>
          <w:color w:val="111111"/>
        </w:rPr>
        <w:t xml:space="preserve"> privind finanțele publice locale;</w:t>
      </w:r>
    </w:p>
    <w:p w:rsidR="007527ED" w:rsidRPr="007527ED" w:rsidRDefault="007527ED" w:rsidP="007527ED">
      <w:pPr>
        <w:numPr>
          <w:ilvl w:val="0"/>
          <w:numId w:val="11"/>
        </w:numPr>
        <w:shd w:val="clear" w:color="auto" w:fill="FFFFFF"/>
        <w:suppressAutoHyphens/>
        <w:spacing w:before="100" w:beforeAutospacing="1"/>
        <w:jc w:val="both"/>
        <w:rPr>
          <w:color w:val="111111"/>
        </w:rPr>
      </w:pPr>
      <w:r w:rsidRPr="007527ED">
        <w:rPr>
          <w:b/>
          <w:bCs/>
          <w:color w:val="111111"/>
        </w:rPr>
        <w:t>Legii nr. 500/2002</w:t>
      </w:r>
      <w:r w:rsidRPr="007527ED">
        <w:rPr>
          <w:color w:val="111111"/>
        </w:rPr>
        <w:t xml:space="preserve"> privind finanțele publice, publicată în Monitorul Oficial nr. 597/13.08.2002, cu modificările și completările ulterioare;</w:t>
      </w:r>
    </w:p>
    <w:p w:rsidR="007527ED" w:rsidRPr="007527ED" w:rsidRDefault="007527ED" w:rsidP="007527ED">
      <w:pPr>
        <w:numPr>
          <w:ilvl w:val="0"/>
          <w:numId w:val="11"/>
        </w:numPr>
        <w:shd w:val="clear" w:color="auto" w:fill="FFFFFF"/>
        <w:suppressAutoHyphens/>
        <w:spacing w:before="100" w:beforeAutospacing="1"/>
        <w:jc w:val="both"/>
        <w:rPr>
          <w:color w:val="111111"/>
        </w:rPr>
      </w:pPr>
      <w:r w:rsidRPr="007527ED">
        <w:rPr>
          <w:b/>
          <w:bCs/>
          <w:color w:val="111111"/>
        </w:rPr>
        <w:t>OMFP nr. 1.917/2005</w:t>
      </w:r>
      <w:r w:rsidRPr="007527ED">
        <w:rPr>
          <w:color w:val="111111"/>
        </w:rPr>
        <w:t xml:space="preserve"> pentru aprobarea Normelor metodologice privind organizarea și conducerea contabilității instituțiilor publice, Planul de conturi pentru instituțiile publice și </w:t>
      </w:r>
      <w:r w:rsidRPr="007527ED">
        <w:rPr>
          <w:color w:val="111111"/>
        </w:rPr>
        <w:lastRenderedPageBreak/>
        <w:t>instrucțiunile de aplicare a acestuia, publicat în Monitorul Oficial nr. 1.186 și 1.186 bis/29.12.2005, cu modificările și completările ulterioare;</w:t>
      </w:r>
    </w:p>
    <w:p w:rsidR="007527ED" w:rsidRPr="007527ED" w:rsidRDefault="007527ED" w:rsidP="007527ED">
      <w:pPr>
        <w:numPr>
          <w:ilvl w:val="0"/>
          <w:numId w:val="11"/>
        </w:numPr>
        <w:shd w:val="clear" w:color="auto" w:fill="FFFFFF"/>
        <w:suppressAutoHyphens/>
        <w:spacing w:before="100" w:beforeAutospacing="1"/>
        <w:jc w:val="both"/>
        <w:rPr>
          <w:color w:val="111111"/>
        </w:rPr>
      </w:pPr>
      <w:r w:rsidRPr="007527ED">
        <w:rPr>
          <w:b/>
          <w:bCs/>
          <w:color w:val="111111"/>
        </w:rPr>
        <w:t>OMFP nr. 529/2016</w:t>
      </w:r>
      <w:r w:rsidRPr="007527ED">
        <w:rPr>
          <w:color w:val="111111"/>
        </w:rPr>
        <w:t xml:space="preserve"> pentru aprobarea Normelor metodologice privind întocmirea și depunerea situațiilor financiare trimestriale ale instituțiilor publice, precum și a unor raportări financiare lunare în anul 2016, pentru modificarea și completarea Normelor metodologice privind organizarea și conducerea contabilității instituțiilor publice, Planul de conturi pentru instituțiile publice și instrucțiunile de aplicare a acestuia, aprobate prin Ordinul ministrului finanțelor publice nr. 1.917/2005, precum și pentru modificarea și completarea altor norme metodologice în domeniul contabilității publice, publicat în Monitorul Oficial nr. 299/19.04.2016;</w:t>
      </w:r>
    </w:p>
    <w:p w:rsidR="007527ED" w:rsidRPr="007527ED" w:rsidRDefault="007527ED" w:rsidP="007527ED">
      <w:pPr>
        <w:numPr>
          <w:ilvl w:val="0"/>
          <w:numId w:val="11"/>
        </w:numPr>
        <w:suppressAutoHyphens/>
        <w:jc w:val="both"/>
        <w:rPr>
          <w:iCs/>
          <w:color w:val="000000"/>
          <w:shd w:val="clear" w:color="auto" w:fill="FFFFFF"/>
          <w:lang w:eastAsia="ar-SA"/>
        </w:rPr>
      </w:pPr>
      <w:r w:rsidRPr="007527ED">
        <w:rPr>
          <w:b/>
          <w:bCs/>
          <w:iCs/>
          <w:color w:val="000000"/>
          <w:shd w:val="clear" w:color="auto" w:fill="FFFFFF"/>
          <w:lang w:eastAsia="ar-SA"/>
        </w:rPr>
        <w:t>Legii nr. 153/2017</w:t>
      </w:r>
      <w:r w:rsidRPr="007527ED">
        <w:rPr>
          <w:iCs/>
          <w:color w:val="000000"/>
          <w:shd w:val="clear" w:color="auto" w:fill="FFFFFF"/>
          <w:lang w:eastAsia="ar-SA"/>
        </w:rPr>
        <w:t xml:space="preserve"> privind salarizarea personalului plătit din fonduri publice, cu modificările și completările ulterioare;</w:t>
      </w:r>
    </w:p>
    <w:p w:rsidR="007527ED" w:rsidRPr="007527ED" w:rsidRDefault="007527ED" w:rsidP="007527ED">
      <w:pPr>
        <w:numPr>
          <w:ilvl w:val="0"/>
          <w:numId w:val="11"/>
        </w:numPr>
        <w:suppressAutoHyphens/>
        <w:spacing w:after="160"/>
        <w:contextualSpacing/>
        <w:jc w:val="both"/>
        <w:rPr>
          <w:lang w:eastAsia="ar-SA"/>
        </w:rPr>
      </w:pPr>
      <w:r w:rsidRPr="007527ED">
        <w:rPr>
          <w:b/>
          <w:bCs/>
          <w:lang w:eastAsia="ar-SA"/>
        </w:rPr>
        <w:t>OUG nr. 57/2019</w:t>
      </w:r>
      <w:r w:rsidRPr="007527ED">
        <w:rPr>
          <w:lang w:eastAsia="ar-SA"/>
        </w:rPr>
        <w:t xml:space="preserve"> </w:t>
      </w:r>
      <w:r w:rsidRPr="007527ED">
        <w:rPr>
          <w:i/>
          <w:iCs/>
          <w:lang w:eastAsia="ar-SA"/>
        </w:rPr>
        <w:t>privind Codul administrativ</w:t>
      </w:r>
      <w:r w:rsidRPr="007527ED">
        <w:rPr>
          <w:lang w:eastAsia="ar-SA"/>
        </w:rPr>
        <w:t>;</w:t>
      </w:r>
    </w:p>
    <w:p w:rsidR="007527ED" w:rsidRPr="007527ED" w:rsidRDefault="007527ED" w:rsidP="007527ED">
      <w:pPr>
        <w:numPr>
          <w:ilvl w:val="0"/>
          <w:numId w:val="11"/>
        </w:numPr>
        <w:suppressAutoHyphens/>
        <w:spacing w:after="160"/>
        <w:contextualSpacing/>
        <w:jc w:val="both"/>
        <w:rPr>
          <w:lang w:eastAsia="ar-SA"/>
        </w:rPr>
      </w:pPr>
      <w:r w:rsidRPr="007527ED">
        <w:rPr>
          <w:b/>
          <w:bCs/>
          <w:lang w:eastAsia="ar-SA"/>
        </w:rPr>
        <w:t>Legii nr. 53/2003</w:t>
      </w:r>
      <w:r w:rsidRPr="007527ED">
        <w:rPr>
          <w:lang w:eastAsia="ar-SA"/>
        </w:rPr>
        <w:t xml:space="preserve"> – </w:t>
      </w:r>
      <w:r w:rsidRPr="007527ED">
        <w:rPr>
          <w:i/>
          <w:iCs/>
          <w:lang w:eastAsia="ar-SA"/>
        </w:rPr>
        <w:t>Codul Muncii, republicat</w:t>
      </w:r>
      <w:r w:rsidRPr="007527ED">
        <w:rPr>
          <w:lang w:eastAsia="ar-SA"/>
        </w:rPr>
        <w:t>;</w:t>
      </w:r>
    </w:p>
    <w:p w:rsidR="007527ED" w:rsidRPr="007527ED" w:rsidRDefault="007527ED" w:rsidP="007527ED">
      <w:pPr>
        <w:numPr>
          <w:ilvl w:val="0"/>
          <w:numId w:val="11"/>
        </w:numPr>
        <w:suppressAutoHyphens/>
        <w:contextualSpacing/>
        <w:jc w:val="both"/>
        <w:rPr>
          <w:lang w:eastAsia="ar-SA"/>
        </w:rPr>
      </w:pPr>
      <w:r w:rsidRPr="007527ED">
        <w:rPr>
          <w:b/>
          <w:bCs/>
          <w:lang w:eastAsia="ar-SA"/>
        </w:rPr>
        <w:t>Legii nr. 24/2000</w:t>
      </w:r>
      <w:r w:rsidRPr="007527ED">
        <w:rPr>
          <w:lang w:eastAsia="ar-SA"/>
        </w:rPr>
        <w:t>, privind normele de tehnică legislativă pentru elaborarea actelor normative, republicată, cu modificările şi completările ulterioare.</w:t>
      </w:r>
    </w:p>
    <w:p w:rsidR="00174A68" w:rsidRPr="00F348DE" w:rsidRDefault="00174A68" w:rsidP="00F348DE">
      <w:pPr>
        <w:suppressAutoHyphens/>
        <w:spacing w:line="256" w:lineRule="auto"/>
        <w:jc w:val="both"/>
        <w:rPr>
          <w:i/>
          <w:iCs/>
          <w:color w:val="000000"/>
          <w:shd w:val="clear" w:color="auto" w:fill="FFFFFF"/>
          <w:lang w:eastAsia="ar-SA"/>
        </w:rPr>
      </w:pPr>
    </w:p>
    <w:p w:rsidR="00F348DE" w:rsidRDefault="00F348DE" w:rsidP="00F348DE">
      <w:pPr>
        <w:ind w:firstLine="360"/>
        <w:jc w:val="both"/>
        <w:rPr>
          <w:color w:val="000000"/>
        </w:rPr>
      </w:pPr>
      <w:r>
        <w:rPr>
          <w:color w:val="000000"/>
        </w:rPr>
        <w:t>Potrivit  art. 33</w:t>
      </w:r>
      <w:bookmarkStart w:id="0" w:name="A33"/>
      <w:r>
        <w:rPr>
          <w:color w:val="000000"/>
        </w:rPr>
        <w:t xml:space="preserve"> alin.(1) din </w:t>
      </w:r>
      <w:r w:rsidRPr="003A086A">
        <w:rPr>
          <w:b/>
          <w:bCs/>
          <w:color w:val="000000"/>
        </w:rPr>
        <w:t>HG</w:t>
      </w:r>
      <w:r w:rsidR="003A086A" w:rsidRPr="003A086A">
        <w:rPr>
          <w:b/>
          <w:bCs/>
          <w:color w:val="000000"/>
        </w:rPr>
        <w:t xml:space="preserve"> nr.</w:t>
      </w:r>
      <w:r w:rsidRPr="003A086A">
        <w:rPr>
          <w:b/>
          <w:bCs/>
          <w:color w:val="000000"/>
        </w:rPr>
        <w:t xml:space="preserve"> 566/2022</w:t>
      </w:r>
      <w:r>
        <w:rPr>
          <w:color w:val="000000"/>
        </w:rPr>
        <w:t>:</w:t>
      </w:r>
    </w:p>
    <w:p w:rsidR="003A086A" w:rsidRPr="003A086A" w:rsidRDefault="003A086A" w:rsidP="003A086A">
      <w:pPr>
        <w:rPr>
          <w:b/>
          <w:bCs/>
          <w:color w:val="2E74B5" w:themeColor="accent5" w:themeShade="BF"/>
          <w:lang w:val="fr-FR"/>
        </w:rPr>
      </w:pPr>
      <w:r w:rsidRPr="003A086A">
        <w:rPr>
          <w:b/>
          <w:bCs/>
          <w:color w:val="2E74B5" w:themeColor="accent5" w:themeShade="BF"/>
          <w:lang w:val="fr-FR"/>
        </w:rPr>
        <w:t xml:space="preserve">Articolul </w:t>
      </w:r>
      <w:r w:rsidR="00846C4E">
        <w:rPr>
          <w:b/>
          <w:bCs/>
          <w:color w:val="2E74B5" w:themeColor="accent5" w:themeShade="BF"/>
          <w:lang w:val="fr-FR"/>
        </w:rPr>
        <w:t>33</w:t>
      </w:r>
    </w:p>
    <w:bookmarkEnd w:id="0"/>
    <w:p w:rsidR="00CF7F61" w:rsidRPr="000D6A29" w:rsidRDefault="00F348DE" w:rsidP="000D6A29">
      <w:pPr>
        <w:rPr>
          <w:i/>
          <w:color w:val="000000"/>
        </w:rPr>
      </w:pPr>
      <w:r w:rsidRPr="000D6A29">
        <w:rPr>
          <w:i/>
          <w:color w:val="000000"/>
        </w:rPr>
        <w:t> </w:t>
      </w:r>
      <w:r w:rsidRPr="000D6A29">
        <w:rPr>
          <w:i/>
          <w:color w:val="000000"/>
        </w:rPr>
        <w:t> </w:t>
      </w:r>
      <w:r w:rsidRPr="000D6A29">
        <w:rPr>
          <w:i/>
          <w:color w:val="000000"/>
        </w:rPr>
        <w:t>”(1) Structura orientativă a personalului din unităţile de învăţământ preuniversitar cu nivel antepreşcolar este formată din:</w:t>
      </w:r>
      <w:r w:rsidRPr="000D6A29">
        <w:rPr>
          <w:i/>
          <w:color w:val="000000"/>
        </w:rPr>
        <w:br/>
      </w:r>
      <w:r w:rsidRPr="000D6A29">
        <w:rPr>
          <w:i/>
          <w:color w:val="000000"/>
        </w:rPr>
        <w:t> </w:t>
      </w:r>
      <w:r w:rsidRPr="000D6A29">
        <w:rPr>
          <w:i/>
          <w:color w:val="000000"/>
        </w:rPr>
        <w:t> </w:t>
      </w:r>
      <w:r w:rsidRPr="000D6A29">
        <w:rPr>
          <w:i/>
          <w:color w:val="000000"/>
        </w:rPr>
        <w:t>a) personal de conducere: director, în cazul unităţilor prevăzute la art. 1 alin. (3) şi la art. 6 alin. (1); în cazul celor prevăzute la art. 1 alin. (3), acesta este directorul unităţii de învăţământ preuniversitar cu personalitate juridică;</w:t>
      </w:r>
      <w:r w:rsidRPr="000D6A29">
        <w:rPr>
          <w:i/>
          <w:color w:val="000000"/>
        </w:rPr>
        <w:br/>
      </w:r>
      <w:r w:rsidRPr="000D6A29">
        <w:rPr>
          <w:i/>
          <w:color w:val="000000"/>
        </w:rPr>
        <w:t> </w:t>
      </w:r>
      <w:r w:rsidRPr="000D6A29">
        <w:rPr>
          <w:i/>
          <w:color w:val="000000"/>
        </w:rPr>
        <w:t> </w:t>
      </w:r>
      <w:r w:rsidRPr="000D6A29">
        <w:rPr>
          <w:i/>
          <w:color w:val="000000"/>
        </w:rPr>
        <w:t>b) personal didactic de predare: educator-puericultor;</w:t>
      </w:r>
      <w:r w:rsidRPr="000D6A29">
        <w:rPr>
          <w:i/>
          <w:color w:val="000000"/>
        </w:rPr>
        <w:br/>
      </w:r>
      <w:r w:rsidRPr="000D6A29">
        <w:rPr>
          <w:i/>
          <w:color w:val="000000"/>
        </w:rPr>
        <w:t> </w:t>
      </w:r>
      <w:r w:rsidRPr="000D6A29">
        <w:rPr>
          <w:i/>
          <w:color w:val="000000"/>
        </w:rPr>
        <w:t> </w:t>
      </w:r>
      <w:r w:rsidRPr="000D6A29">
        <w:rPr>
          <w:i/>
          <w:color w:val="000000"/>
        </w:rPr>
        <w:t>c) personal didactic auxiliar: administrator financiar, administrator de patrimoniu, infirmieră şi, după caz, secretar;</w:t>
      </w:r>
      <w:r w:rsidRPr="000D6A29">
        <w:rPr>
          <w:i/>
          <w:color w:val="000000"/>
        </w:rPr>
        <w:br/>
      </w:r>
      <w:r w:rsidRPr="000D6A29">
        <w:rPr>
          <w:i/>
          <w:color w:val="000000"/>
        </w:rPr>
        <w:t> </w:t>
      </w:r>
      <w:r w:rsidRPr="000D6A29">
        <w:rPr>
          <w:i/>
          <w:color w:val="000000"/>
        </w:rPr>
        <w:t> </w:t>
      </w:r>
      <w:r w:rsidRPr="000D6A29">
        <w:rPr>
          <w:i/>
          <w:color w:val="000000"/>
        </w:rPr>
        <w:t>d) personal nedidactic: asistent medical şi, după caz, medic, bucătar, ajutor de bucătar (în cazul unităţilor cu program prelungit), îngrijitoare.</w:t>
      </w:r>
      <w:r w:rsidR="00CF7F61" w:rsidRPr="000D6A29">
        <w:rPr>
          <w:i/>
          <w:color w:val="000000"/>
        </w:rPr>
        <w:t>”</w:t>
      </w:r>
    </w:p>
    <w:p w:rsidR="000D6A29" w:rsidRPr="00F14AD5" w:rsidRDefault="00122EA0" w:rsidP="000D6A29">
      <w:pPr>
        <w:rPr>
          <w:lang w:val="ro-RO"/>
        </w:rPr>
      </w:pPr>
      <w:r>
        <w:rPr>
          <w:color w:val="000000"/>
        </w:rPr>
        <w:tab/>
      </w:r>
      <w:r w:rsidR="000D6A29" w:rsidRPr="00F14AD5">
        <w:rPr>
          <w:lang w:val="fr-FR"/>
        </w:rPr>
        <w:t>Personalul din cadrul Creșei Timișoara, care se regăsește la art. 33</w:t>
      </w:r>
      <w:r w:rsidR="000D6A29" w:rsidRPr="00F14AD5">
        <w:rPr>
          <w:lang w:val="ro-RO"/>
        </w:rPr>
        <w:t xml:space="preserve"> </w:t>
      </w:r>
      <w:r w:rsidR="000D6A29" w:rsidRPr="00F14AD5">
        <w:rPr>
          <w:lang w:val="fr-FR"/>
        </w:rPr>
        <w:t xml:space="preserve">din </w:t>
      </w:r>
      <w:r w:rsidR="000D6A29" w:rsidRPr="00F14AD5">
        <w:rPr>
          <w:bCs/>
          <w:lang w:val="fr-FR"/>
        </w:rPr>
        <w:t>HG nr. 566/2022,</w:t>
      </w:r>
      <w:r w:rsidR="000D6A29" w:rsidRPr="00F14AD5">
        <w:rPr>
          <w:lang w:val="fr-FR"/>
        </w:rPr>
        <w:t xml:space="preserve"> va fi preluat de către  unitățile de învățământ la care se arondează creșele</w:t>
      </w:r>
      <w:r w:rsidR="000D6A29">
        <w:rPr>
          <w:lang w:val="fr-FR"/>
        </w:rPr>
        <w:t>.</w:t>
      </w:r>
    </w:p>
    <w:p w:rsidR="000D6A29" w:rsidRDefault="000D6A29" w:rsidP="00F348DE">
      <w:pPr>
        <w:rPr>
          <w:color w:val="000000"/>
        </w:rPr>
      </w:pPr>
    </w:p>
    <w:p w:rsidR="00CF7F61" w:rsidRDefault="00CF7F61" w:rsidP="00F348DE">
      <w:pPr>
        <w:rPr>
          <w:lang w:val="fr-FR"/>
        </w:rPr>
      </w:pPr>
      <w:r>
        <w:rPr>
          <w:color w:val="000000"/>
        </w:rPr>
        <w:tab/>
        <w:t>De asemenea</w:t>
      </w:r>
      <w:r w:rsidR="000D6A29">
        <w:rPr>
          <w:color w:val="000000"/>
        </w:rPr>
        <w:t>,</w:t>
      </w:r>
      <w:r>
        <w:rPr>
          <w:color w:val="000000"/>
        </w:rPr>
        <w:t xml:space="preserve"> potrivit art.</w:t>
      </w:r>
      <w:r w:rsidR="003A086A">
        <w:rPr>
          <w:color w:val="000000"/>
        </w:rPr>
        <w:t xml:space="preserve"> </w:t>
      </w:r>
      <w:r w:rsidRPr="00CF7F61">
        <w:rPr>
          <w:lang w:val="fr-FR"/>
        </w:rPr>
        <w:t xml:space="preserve">59 alin.(3) din </w:t>
      </w:r>
      <w:r w:rsidR="003A086A" w:rsidRPr="003A086A">
        <w:rPr>
          <w:b/>
          <w:bCs/>
          <w:color w:val="000000"/>
        </w:rPr>
        <w:t>HG nr. 566/2022</w:t>
      </w:r>
      <w:r>
        <w:rPr>
          <w:lang w:val="fr-FR"/>
        </w:rPr>
        <w:t>:</w:t>
      </w:r>
    </w:p>
    <w:p w:rsidR="003A086A" w:rsidRPr="003A086A" w:rsidRDefault="003A086A" w:rsidP="00F348DE">
      <w:pPr>
        <w:rPr>
          <w:b/>
          <w:bCs/>
          <w:color w:val="2E74B5" w:themeColor="accent5" w:themeShade="BF"/>
          <w:lang w:val="fr-FR"/>
        </w:rPr>
      </w:pPr>
      <w:r w:rsidRPr="003A086A">
        <w:rPr>
          <w:b/>
          <w:bCs/>
          <w:color w:val="2E74B5" w:themeColor="accent5" w:themeShade="BF"/>
          <w:lang w:val="fr-FR"/>
        </w:rPr>
        <w:t>Articolul 59</w:t>
      </w:r>
    </w:p>
    <w:p w:rsidR="00122EA0" w:rsidRPr="0034523D" w:rsidRDefault="008E277C" w:rsidP="0034523D">
      <w:pPr>
        <w:jc w:val="both"/>
        <w:rPr>
          <w:i/>
          <w:color w:val="000000"/>
          <w:shd w:val="clear" w:color="auto" w:fill="FFFFFF"/>
        </w:rPr>
      </w:pPr>
      <w:r w:rsidRPr="0034523D">
        <w:rPr>
          <w:i/>
          <w:color w:val="000000"/>
          <w:shd w:val="clear" w:color="auto" w:fill="FFFFFF"/>
        </w:rPr>
        <w:t>”</w:t>
      </w:r>
      <w:r w:rsidR="00CF7F61" w:rsidRPr="0034523D">
        <w:rPr>
          <w:i/>
          <w:color w:val="000000"/>
          <w:shd w:val="clear" w:color="auto" w:fill="FFFFFF"/>
        </w:rPr>
        <w:t>(3) Personalul care a ocupat funcţia de director/coordonator de creşă până la momentul arondării creşei la o unitate de învăţământ cu personalitate juridică poate opta, conform calificării, pentru una dintre funcţiile prevăzute la art. 33.</w:t>
      </w:r>
      <w:r w:rsidRPr="0034523D">
        <w:rPr>
          <w:i/>
          <w:color w:val="000000"/>
          <w:shd w:val="clear" w:color="auto" w:fill="FFFFFF"/>
        </w:rPr>
        <w:t>”</w:t>
      </w:r>
    </w:p>
    <w:p w:rsidR="000D6A29" w:rsidRDefault="00BA7E11" w:rsidP="000D6A29">
      <w:pPr>
        <w:jc w:val="both"/>
        <w:rPr>
          <w:color w:val="000000"/>
          <w:shd w:val="clear" w:color="auto" w:fill="FFFFFF"/>
        </w:rPr>
      </w:pPr>
      <w:r>
        <w:rPr>
          <w:color w:val="000000"/>
          <w:shd w:val="clear" w:color="auto" w:fill="FFFFFF"/>
        </w:rPr>
        <w:tab/>
      </w:r>
      <w:r w:rsidR="000D6A29" w:rsidRPr="00F14AD5">
        <w:rPr>
          <w:lang w:val="fr-FR"/>
        </w:rPr>
        <w:t xml:space="preserve">Personalul din cadrul Creșei Timișoara, care nu a optat conform art. </w:t>
      </w:r>
      <w:r w:rsidR="000D6A29" w:rsidRPr="00F14AD5">
        <w:rPr>
          <w:lang w:val="ro-RO"/>
        </w:rPr>
        <w:t>59</w:t>
      </w:r>
      <w:r w:rsidR="000D6A29" w:rsidRPr="00F14AD5">
        <w:rPr>
          <w:lang w:val="fr-FR"/>
        </w:rPr>
        <w:t xml:space="preserve"> alin. (3) </w:t>
      </w:r>
      <w:r w:rsidR="000D6A29" w:rsidRPr="00F14AD5">
        <w:rPr>
          <w:lang w:val="ro-RO"/>
        </w:rPr>
        <w:t xml:space="preserve"> </w:t>
      </w:r>
      <w:r w:rsidR="000D6A29" w:rsidRPr="00F14AD5">
        <w:rPr>
          <w:lang w:val="fr-FR"/>
        </w:rPr>
        <w:t xml:space="preserve">din </w:t>
      </w:r>
      <w:r w:rsidR="000D6A29" w:rsidRPr="00F14AD5">
        <w:rPr>
          <w:bCs/>
          <w:lang w:val="fr-FR"/>
        </w:rPr>
        <w:t xml:space="preserve">HG nr. 566/2022, pentru una din funcțiile prevăzute la </w:t>
      </w:r>
      <w:r w:rsidR="000D6A29" w:rsidRPr="00F14AD5">
        <w:rPr>
          <w:lang w:val="fr-FR"/>
        </w:rPr>
        <w:t>art. 33</w:t>
      </w:r>
      <w:r w:rsidR="000D6A29" w:rsidRPr="00F14AD5">
        <w:rPr>
          <w:lang w:val="ro-RO"/>
        </w:rPr>
        <w:t xml:space="preserve"> </w:t>
      </w:r>
      <w:r w:rsidR="000D6A29" w:rsidRPr="00F14AD5">
        <w:rPr>
          <w:lang w:val="fr-FR"/>
        </w:rPr>
        <w:t xml:space="preserve">din </w:t>
      </w:r>
      <w:r w:rsidR="000D6A29" w:rsidRPr="00F14AD5">
        <w:rPr>
          <w:bCs/>
          <w:lang w:val="fr-FR"/>
        </w:rPr>
        <w:t xml:space="preserve">HG nr. 566/2022, precum și personalul </w:t>
      </w:r>
      <w:r w:rsidR="000D6A29" w:rsidRPr="00F14AD5">
        <w:rPr>
          <w:lang w:val="fr-FR"/>
        </w:rPr>
        <w:t>care nu se reg</w:t>
      </w:r>
      <w:r w:rsidR="000D6A29" w:rsidRPr="00F14AD5">
        <w:rPr>
          <w:lang w:val="ro-RO"/>
        </w:rPr>
        <w:t xml:space="preserve">ăsește la art. </w:t>
      </w:r>
      <w:r w:rsidR="000D6A29" w:rsidRPr="00F14AD5">
        <w:rPr>
          <w:lang w:val="fr-FR"/>
        </w:rPr>
        <w:t xml:space="preserve">33 din </w:t>
      </w:r>
      <w:r w:rsidR="000D6A29" w:rsidRPr="00F14AD5">
        <w:rPr>
          <w:bCs/>
          <w:lang w:val="fr-FR"/>
        </w:rPr>
        <w:t xml:space="preserve">HG nr. 566/2022, va </w:t>
      </w:r>
      <w:r w:rsidR="000D6A29" w:rsidRPr="00F14AD5">
        <w:rPr>
          <w:lang w:val="fr-FR"/>
        </w:rPr>
        <w:t>fi concediat ca urma</w:t>
      </w:r>
      <w:r w:rsidR="000D6A29">
        <w:rPr>
          <w:lang w:val="fr-FR"/>
        </w:rPr>
        <w:t>re a desființării angajatorului.</w:t>
      </w:r>
    </w:p>
    <w:p w:rsidR="000D6A29" w:rsidRDefault="000D6A29" w:rsidP="0034523D">
      <w:pPr>
        <w:jc w:val="both"/>
        <w:rPr>
          <w:color w:val="000000"/>
          <w:shd w:val="clear" w:color="auto" w:fill="FFFFFF"/>
        </w:rPr>
      </w:pPr>
    </w:p>
    <w:p w:rsidR="006161C1" w:rsidRPr="00A76C3C" w:rsidRDefault="00952024" w:rsidP="00837B2B">
      <w:pPr>
        <w:ind w:firstLine="491"/>
        <w:jc w:val="both"/>
        <w:rPr>
          <w:color w:val="000000"/>
          <w:shd w:val="clear" w:color="auto" w:fill="FFFFFF"/>
          <w:lang w:eastAsia="ar-SA"/>
        </w:rPr>
      </w:pPr>
      <w:bookmarkStart w:id="1" w:name="_Hlk108776184"/>
      <w:r w:rsidRPr="00A76C3C">
        <w:rPr>
          <w:color w:val="000000"/>
          <w:shd w:val="clear" w:color="auto" w:fill="FFFFFF"/>
          <w:lang w:eastAsia="ar-SA"/>
        </w:rPr>
        <w:t>Luând în consider</w:t>
      </w:r>
      <w:r w:rsidR="005A4D3F" w:rsidRPr="00A76C3C">
        <w:rPr>
          <w:color w:val="000000"/>
          <w:shd w:val="clear" w:color="auto" w:fill="FFFFFF"/>
          <w:lang w:eastAsia="ar-SA"/>
        </w:rPr>
        <w:t>are</w:t>
      </w:r>
      <w:r w:rsidRPr="00A76C3C">
        <w:rPr>
          <w:color w:val="000000"/>
          <w:shd w:val="clear" w:color="auto" w:fill="FFFFFF"/>
          <w:lang w:eastAsia="ar-SA"/>
        </w:rPr>
        <w:t xml:space="preserve"> intenția de </w:t>
      </w:r>
      <w:r w:rsidR="000D6A29">
        <w:rPr>
          <w:color w:val="000000"/>
          <w:shd w:val="clear" w:color="auto" w:fill="FFFFFF"/>
          <w:lang w:eastAsia="ar-SA"/>
        </w:rPr>
        <w:t>desființare</w:t>
      </w:r>
      <w:r w:rsidRPr="00A76C3C">
        <w:rPr>
          <w:color w:val="000000"/>
          <w:shd w:val="clear" w:color="auto" w:fill="FFFFFF"/>
          <w:lang w:eastAsia="ar-SA"/>
        </w:rPr>
        <w:t xml:space="preserve"> a Creșei Timișoara este necesară efectuarea următoarelor o</w:t>
      </w:r>
      <w:r w:rsidR="006161C1" w:rsidRPr="00A76C3C">
        <w:rPr>
          <w:color w:val="000000"/>
          <w:shd w:val="clear" w:color="auto" w:fill="FFFFFF"/>
          <w:lang w:eastAsia="ar-SA"/>
        </w:rPr>
        <w:t>perațiuni:</w:t>
      </w:r>
    </w:p>
    <w:p w:rsidR="006161C1" w:rsidRPr="00A76C3C" w:rsidRDefault="006161C1" w:rsidP="00837B2B">
      <w:pPr>
        <w:numPr>
          <w:ilvl w:val="0"/>
          <w:numId w:val="16"/>
        </w:numPr>
        <w:tabs>
          <w:tab w:val="clear" w:pos="720"/>
        </w:tabs>
        <w:ind w:left="0" w:firstLine="491"/>
        <w:jc w:val="both"/>
        <w:rPr>
          <w:color w:val="000000"/>
          <w:shd w:val="clear" w:color="auto" w:fill="FFFFFF"/>
          <w:lang w:eastAsia="ar-SA"/>
        </w:rPr>
      </w:pPr>
      <w:r w:rsidRPr="00A76C3C">
        <w:rPr>
          <w:color w:val="000000"/>
          <w:shd w:val="clear" w:color="auto" w:fill="FFFFFF"/>
          <w:lang w:eastAsia="ar-SA"/>
        </w:rPr>
        <w:t>inventarierea patrimoniului în conformitate cu prevederile Legii contabilității nr. 82/1991, republicată, cu modificările și completările ulterioare, și cu Normele privind inventarierea elementelor de activ și de pasiv;</w:t>
      </w:r>
    </w:p>
    <w:p w:rsidR="006161C1" w:rsidRPr="00A76C3C" w:rsidRDefault="006161C1" w:rsidP="00837B2B">
      <w:pPr>
        <w:numPr>
          <w:ilvl w:val="0"/>
          <w:numId w:val="16"/>
        </w:numPr>
        <w:tabs>
          <w:tab w:val="clear" w:pos="720"/>
        </w:tabs>
        <w:ind w:left="0" w:firstLine="491"/>
        <w:jc w:val="both"/>
        <w:rPr>
          <w:color w:val="000000"/>
          <w:shd w:val="clear" w:color="auto" w:fill="FFFFFF"/>
          <w:lang w:eastAsia="ar-SA"/>
        </w:rPr>
      </w:pPr>
      <w:r w:rsidRPr="00A76C3C">
        <w:rPr>
          <w:color w:val="000000"/>
          <w:shd w:val="clear" w:color="auto" w:fill="FFFFFF"/>
          <w:lang w:eastAsia="ar-SA"/>
        </w:rPr>
        <w:lastRenderedPageBreak/>
        <w:t>întocmirea situațiilor financiare de încetare a activității, pe formulare și conform metodologiei elaborate de Ministerul Finanțelor Publ</w:t>
      </w:r>
      <w:r w:rsidR="000D6A29">
        <w:rPr>
          <w:color w:val="000000"/>
          <w:shd w:val="clear" w:color="auto" w:fill="FFFFFF"/>
          <w:lang w:eastAsia="ar-SA"/>
        </w:rPr>
        <w:t>ice pentru instituțiile publice;</w:t>
      </w:r>
    </w:p>
    <w:p w:rsidR="006161C1" w:rsidRPr="00A76C3C" w:rsidRDefault="006161C1" w:rsidP="00837B2B">
      <w:pPr>
        <w:ind w:firstLine="720"/>
        <w:jc w:val="both"/>
        <w:rPr>
          <w:color w:val="000000"/>
          <w:shd w:val="clear" w:color="auto" w:fill="FFFFFF"/>
          <w:lang w:eastAsia="ar-SA"/>
        </w:rPr>
      </w:pPr>
      <w:r w:rsidRPr="00A76C3C">
        <w:rPr>
          <w:color w:val="000000"/>
          <w:shd w:val="clear" w:color="auto" w:fill="FFFFFF"/>
          <w:lang w:eastAsia="ar-SA"/>
        </w:rPr>
        <w:t xml:space="preserve">Astfel, Municipiul Timișoara dobândește toate bunurile, drepturile și obligațiile aferente Biroului Financiar care își încetează activitatea. Predarea-primirea </w:t>
      </w:r>
      <w:r w:rsidR="00A76C3C" w:rsidRPr="00A76C3C">
        <w:rPr>
          <w:color w:val="000000"/>
          <w:shd w:val="clear" w:color="auto" w:fill="FFFFFF"/>
          <w:lang w:eastAsia="ar-SA"/>
        </w:rPr>
        <w:t>obiectelor de inventar și mijloacelor fixe</w:t>
      </w:r>
      <w:r w:rsidRPr="00A76C3C">
        <w:rPr>
          <w:color w:val="000000"/>
          <w:shd w:val="clear" w:color="auto" w:fill="FFFFFF"/>
          <w:lang w:eastAsia="ar-SA"/>
        </w:rPr>
        <w:t xml:space="preserve"> are loc după publicarea actului de </w:t>
      </w:r>
      <w:r w:rsidR="000D6A29">
        <w:rPr>
          <w:color w:val="000000"/>
          <w:shd w:val="clear" w:color="auto" w:fill="FFFFFF"/>
          <w:lang w:eastAsia="ar-SA"/>
        </w:rPr>
        <w:t>desființare</w:t>
      </w:r>
      <w:r w:rsidRPr="00A76C3C">
        <w:rPr>
          <w:color w:val="000000"/>
          <w:shd w:val="clear" w:color="auto" w:fill="FFFFFF"/>
          <w:lang w:eastAsia="ar-SA"/>
        </w:rPr>
        <w:t>.</w:t>
      </w:r>
    </w:p>
    <w:p w:rsidR="005A4D3F" w:rsidRPr="00A76C3C" w:rsidRDefault="005A4D3F" w:rsidP="00A76C3C">
      <w:pPr>
        <w:ind w:firstLine="720"/>
        <w:jc w:val="both"/>
        <w:rPr>
          <w:color w:val="000000"/>
          <w:shd w:val="clear" w:color="auto" w:fill="FFFFFF"/>
          <w:lang w:eastAsia="ar-SA"/>
        </w:rPr>
      </w:pPr>
      <w:r w:rsidRPr="00A76C3C">
        <w:rPr>
          <w:lang w:val="fr-FR"/>
        </w:rPr>
        <w:t>Contul de execuție pentru sursa 02 – Buget Local, clasificația bugetară 65.13 va fi preluat de către Municipiul Timișoara – Direcția Economică</w:t>
      </w:r>
      <w:r w:rsidR="00A76C3C" w:rsidRPr="00A76C3C">
        <w:rPr>
          <w:lang w:val="fr-FR"/>
        </w:rPr>
        <w:t>.</w:t>
      </w:r>
    </w:p>
    <w:p w:rsidR="00837B2B" w:rsidRPr="00A76C3C" w:rsidRDefault="00837B2B" w:rsidP="00A76C3C">
      <w:pPr>
        <w:ind w:firstLine="720"/>
        <w:jc w:val="both"/>
      </w:pPr>
      <w:r w:rsidRPr="00A76C3C">
        <w:rPr>
          <w:lang w:val="fr-FR"/>
        </w:rPr>
        <w:t>Activitatea financiar-contabilă va fi preluată de către Direcția Economică din cadrul aparatului de specialitate al Primarului, prin preluarea soldurilor din balanță de verificare la data de 31.07.2022, precum și depunerea următoarelor situații financiare:</w:t>
      </w:r>
      <w:r w:rsidR="00A76C3C" w:rsidRPr="00A76C3C">
        <w:rPr>
          <w:lang w:val="fr-FR"/>
        </w:rPr>
        <w:t xml:space="preserve"> </w:t>
      </w:r>
      <w:r w:rsidRPr="00A76C3C">
        <w:t>bilanțul;</w:t>
      </w:r>
      <w:r w:rsidR="00A76C3C" w:rsidRPr="00A76C3C">
        <w:t xml:space="preserve"> </w:t>
      </w:r>
      <w:r w:rsidRPr="00A76C3C">
        <w:t>contul de rezultat patrimonial;</w:t>
      </w:r>
      <w:r w:rsidR="00A76C3C" w:rsidRPr="00A76C3C">
        <w:t xml:space="preserve"> </w:t>
      </w:r>
      <w:r w:rsidRPr="00A76C3C">
        <w:t>situația fluxurilor de trezorerie;</w:t>
      </w:r>
      <w:r w:rsidR="00A76C3C" w:rsidRPr="00A76C3C">
        <w:t xml:space="preserve"> </w:t>
      </w:r>
      <w:r w:rsidRPr="00A76C3C">
        <w:t>situația modificărilor în structura activelor/capitalurilor;</w:t>
      </w:r>
      <w:r w:rsidR="00A76C3C" w:rsidRPr="00A76C3C">
        <w:t xml:space="preserve"> </w:t>
      </w:r>
      <w:r w:rsidRPr="00A76C3C">
        <w:t>anexe la situațiile financiare, care includ politici contabile și note explicative;</w:t>
      </w:r>
      <w:r w:rsidR="00A76C3C" w:rsidRPr="00A76C3C">
        <w:t xml:space="preserve"> contul de execuție bugetară</w:t>
      </w:r>
      <w:r w:rsidR="00A261FE">
        <w:t>,</w:t>
      </w:r>
      <w:r w:rsidR="00A76C3C" w:rsidRPr="00A76C3C">
        <w:t xml:space="preserve"> etc.</w:t>
      </w:r>
    </w:p>
    <w:p w:rsidR="00A76C3C" w:rsidRPr="00E54A42" w:rsidRDefault="00A76C3C" w:rsidP="00A76C3C">
      <w:pPr>
        <w:ind w:firstLine="720"/>
        <w:jc w:val="both"/>
      </w:pPr>
      <w:r w:rsidRPr="00A76C3C">
        <w:rPr>
          <w:lang w:val="fr-FR"/>
        </w:rPr>
        <w:t xml:space="preserve">Situațiile financiare care survin în urma </w:t>
      </w:r>
      <w:r w:rsidR="000D6A29">
        <w:rPr>
          <w:lang w:val="fr-FR"/>
        </w:rPr>
        <w:t>desființării</w:t>
      </w:r>
      <w:r w:rsidRPr="00E54A42">
        <w:rPr>
          <w:lang w:val="fr-FR"/>
        </w:rPr>
        <w:t xml:space="preserve"> Creșei Timișoara și care trebuie depuse după termenul de finalizare a procedurii de arondare vor fi preluate de </w:t>
      </w:r>
      <w:r w:rsidR="00A261FE">
        <w:rPr>
          <w:lang w:val="fr-FR"/>
        </w:rPr>
        <w:t xml:space="preserve">către </w:t>
      </w:r>
      <w:r w:rsidRPr="00E54A42">
        <w:rPr>
          <w:lang w:val="fr-FR"/>
        </w:rPr>
        <w:t>Direcția Economică din cadrul aparatului de specialitate al Primarului;</w:t>
      </w:r>
    </w:p>
    <w:p w:rsidR="006161C1" w:rsidRPr="00A76C3C" w:rsidRDefault="00A261FE" w:rsidP="00837B2B">
      <w:pPr>
        <w:ind w:firstLine="720"/>
        <w:jc w:val="both"/>
        <w:rPr>
          <w:lang w:val="fr-FR"/>
        </w:rPr>
      </w:pPr>
      <w:r>
        <w:rPr>
          <w:lang w:val="fr-FR"/>
        </w:rPr>
        <w:t>U</w:t>
      </w:r>
      <w:r w:rsidR="006161C1" w:rsidRPr="00A76C3C">
        <w:rPr>
          <w:lang w:val="fr-FR"/>
        </w:rPr>
        <w:t>nitățile de învățământ care au nivel preșcolar cu program prelungit cu personalitate juridică sau unităților de învățământ care au în structură învățământ preșcolar de pe raza U.A.T. Municipiul Timișoara, dobânde</w:t>
      </w:r>
      <w:r>
        <w:rPr>
          <w:lang w:val="fr-FR"/>
        </w:rPr>
        <w:t>sc</w:t>
      </w:r>
      <w:r w:rsidR="006161C1" w:rsidRPr="00A76C3C">
        <w:rPr>
          <w:lang w:val="fr-FR"/>
        </w:rPr>
        <w:t xml:space="preserve"> </w:t>
      </w:r>
      <w:r w:rsidR="00A76C3C" w:rsidRPr="00A76C3C">
        <w:rPr>
          <w:color w:val="000000"/>
          <w:shd w:val="clear" w:color="auto" w:fill="FFFFFF"/>
          <w:lang w:eastAsia="ar-SA"/>
        </w:rPr>
        <w:t>obiectele de inventar și mijloacele fixe</w:t>
      </w:r>
      <w:r w:rsidR="00A76C3C" w:rsidRPr="00A76C3C">
        <w:rPr>
          <w:lang w:val="fr-FR"/>
        </w:rPr>
        <w:t xml:space="preserve"> </w:t>
      </w:r>
      <w:r w:rsidR="006161C1" w:rsidRPr="00A76C3C">
        <w:rPr>
          <w:lang w:val="fr-FR"/>
        </w:rPr>
        <w:t>aferente unităților de învățământ antepreșcolar prin semnarea unui protocol de predare-primire cu Creșa Timișoara.</w:t>
      </w:r>
    </w:p>
    <w:p w:rsidR="005A4D3F" w:rsidRPr="00A76C3C" w:rsidRDefault="005A4D3F" w:rsidP="00054C06">
      <w:pPr>
        <w:ind w:firstLine="720"/>
        <w:jc w:val="both"/>
        <w:rPr>
          <w:lang w:val="fr-FR"/>
        </w:rPr>
      </w:pPr>
      <w:r w:rsidRPr="00A76C3C">
        <w:rPr>
          <w:lang w:val="fr-FR"/>
        </w:rPr>
        <w:t>Contul de execuție pentru sursa 01 – Buget de Stat, clasificația bugetară 65.13 va fi preluat de către Inspectoratul Școlar Județean Timiș prin unitățile de învățământ care au nivel preșcolar cu program prelungit cu personalitate juridică sau unităților de învățământ care au în structură învățământ preșcolar de pe raza U.A.T. Municipiul Timișoara;</w:t>
      </w:r>
    </w:p>
    <w:bookmarkEnd w:id="1"/>
    <w:p w:rsidR="006161C1" w:rsidRDefault="00054C06" w:rsidP="00054C06">
      <w:pPr>
        <w:ind w:firstLine="720"/>
        <w:jc w:val="both"/>
        <w:rPr>
          <w:color w:val="000000"/>
          <w:shd w:val="clear" w:color="auto" w:fill="FFFFFF"/>
          <w:lang w:eastAsia="ar-SA"/>
        </w:rPr>
      </w:pPr>
      <w:r w:rsidRPr="00054C06">
        <w:rPr>
          <w:color w:val="000000"/>
          <w:shd w:val="clear" w:color="auto" w:fill="FFFFFF"/>
          <w:lang w:eastAsia="ar-SA"/>
        </w:rPr>
        <w:t>Arhiva aferentă activității Creșei Timișoara din perioada 2016-2022 va fi preluată de către Municipiul Timișoara</w:t>
      </w:r>
      <w:r w:rsidR="007E7415">
        <w:rPr>
          <w:color w:val="000000"/>
          <w:shd w:val="clear" w:color="auto" w:fill="FFFFFF"/>
          <w:lang w:eastAsia="ar-SA"/>
        </w:rPr>
        <w:t xml:space="preserve"> - Direcția Secretariat General;</w:t>
      </w:r>
    </w:p>
    <w:p w:rsidR="007E7415" w:rsidRDefault="007E7415" w:rsidP="00054C06">
      <w:pPr>
        <w:ind w:firstLine="720"/>
        <w:jc w:val="both"/>
        <w:rPr>
          <w:color w:val="000000"/>
          <w:shd w:val="clear" w:color="auto" w:fill="FFFFFF"/>
          <w:lang w:eastAsia="ar-SA"/>
        </w:rPr>
      </w:pPr>
      <w:r>
        <w:rPr>
          <w:lang w:val="ro-RO"/>
        </w:rPr>
        <w:t>D</w:t>
      </w:r>
      <w:r w:rsidRPr="009C1508">
        <w:rPr>
          <w:lang w:val="ro-RO"/>
        </w:rPr>
        <w:t xml:space="preserve">reptul de administrare al Creșei Timișoara, asupra construcțiilor situate în Timișoara, strada Drăgășani nr. 1, respectiv: </w:t>
      </w:r>
      <w:r w:rsidRPr="009C1508">
        <w:rPr>
          <w:lang w:val="it-IT"/>
        </w:rPr>
        <w:t>corp clădire creșă (nr. inventar: 100045.001, suprafață: 708 mp și valoare inventar: 831.415 lei), spălătorie pentru creșă (nr. inventar: 100045.002, suprafață: 75 mp și valoare inventar: 116</w:t>
      </w:r>
      <w:r>
        <w:rPr>
          <w:lang w:val="it-IT"/>
        </w:rPr>
        <w:t>.650 lei) și î</w:t>
      </w:r>
      <w:r w:rsidRPr="00DB40D3">
        <w:rPr>
          <w:lang w:val="it-IT"/>
        </w:rPr>
        <w:t xml:space="preserve">mprejmuire mixtă </w:t>
      </w:r>
      <w:r>
        <w:rPr>
          <w:lang w:val="it-IT"/>
        </w:rPr>
        <w:t>(</w:t>
      </w:r>
      <w:r w:rsidRPr="00DB40D3">
        <w:rPr>
          <w:lang w:val="it-IT"/>
        </w:rPr>
        <w:t>nr. inventar: 100045.003, suprafață: 0 și valoare inventar: 7.750 lei</w:t>
      </w:r>
      <w:r>
        <w:rPr>
          <w:lang w:val="it-IT"/>
        </w:rPr>
        <w:t>), va fi retras de către Municipiul Timișoara.</w:t>
      </w:r>
    </w:p>
    <w:p w:rsidR="00054C06" w:rsidRDefault="00054C06" w:rsidP="009C007A">
      <w:pPr>
        <w:rPr>
          <w:color w:val="000000"/>
          <w:shd w:val="clear" w:color="auto" w:fill="FFFFFF"/>
          <w:lang w:eastAsia="ar-SA"/>
        </w:rPr>
      </w:pPr>
    </w:p>
    <w:p w:rsidR="007264C9" w:rsidRDefault="007264C9" w:rsidP="007264C9">
      <w:pPr>
        <w:ind w:left="90" w:firstLine="720"/>
        <w:jc w:val="both"/>
        <w:rPr>
          <w:bCs/>
        </w:rPr>
      </w:pPr>
      <w:r w:rsidRPr="00AE3653">
        <w:rPr>
          <w:bCs/>
          <w:lang w:val="it-IT"/>
        </w:rPr>
        <w:t>Potrivit prevederilor art.</w:t>
      </w:r>
      <w:r w:rsidRPr="00AE3653">
        <w:rPr>
          <w:bCs/>
        </w:rPr>
        <w:t xml:space="preserve"> 129 alin. (1), alin. (2) lit. a) și lit. d), alin. (7) lit. a) şi lit. b) </w:t>
      </w:r>
      <w:r>
        <w:rPr>
          <w:bCs/>
          <w:lang w:val="it-IT"/>
        </w:rPr>
        <w:t xml:space="preserve">din </w:t>
      </w:r>
      <w:r w:rsidRPr="003A086A">
        <w:rPr>
          <w:b/>
        </w:rPr>
        <w:t>OUG nr. 57/2019</w:t>
      </w:r>
      <w:r w:rsidRPr="00AE3653">
        <w:rPr>
          <w:bCs/>
        </w:rPr>
        <w:t xml:space="preserve"> </w:t>
      </w:r>
      <w:r w:rsidRPr="003A086A">
        <w:rPr>
          <w:bCs/>
          <w:i/>
          <w:iCs/>
        </w:rPr>
        <w:t>privind Codul administrativ</w:t>
      </w:r>
      <w:r w:rsidRPr="00AE3653">
        <w:rPr>
          <w:bCs/>
        </w:rPr>
        <w:t>, cu modificările</w:t>
      </w:r>
      <w:r>
        <w:rPr>
          <w:bCs/>
        </w:rPr>
        <w:t xml:space="preserve"> </w:t>
      </w:r>
      <w:r w:rsidRPr="00AE3653">
        <w:rPr>
          <w:bCs/>
        </w:rPr>
        <w:t>și</w:t>
      </w:r>
      <w:r>
        <w:rPr>
          <w:bCs/>
        </w:rPr>
        <w:t xml:space="preserve"> </w:t>
      </w:r>
      <w:r w:rsidRPr="00AE3653">
        <w:rPr>
          <w:bCs/>
        </w:rPr>
        <w:t>completările</w:t>
      </w:r>
      <w:r>
        <w:rPr>
          <w:bCs/>
        </w:rPr>
        <w:t xml:space="preserve"> </w:t>
      </w:r>
      <w:r w:rsidRPr="00AE3653">
        <w:rPr>
          <w:bCs/>
        </w:rPr>
        <w:t xml:space="preserve">ulterioare, </w:t>
      </w:r>
      <w:r>
        <w:rPr>
          <w:bCs/>
        </w:rPr>
        <w:t>respectiv:</w:t>
      </w:r>
    </w:p>
    <w:p w:rsidR="007264C9" w:rsidRDefault="00302602" w:rsidP="007264C9">
      <w:pPr>
        <w:ind w:left="993" w:hanging="993"/>
        <w:rPr>
          <w:bCs/>
        </w:rPr>
      </w:pPr>
      <w:bookmarkStart w:id="2" w:name="A129"/>
      <w:r>
        <w:rPr>
          <w:bCs/>
        </w:rPr>
        <w:t xml:space="preserve"> </w:t>
      </w:r>
      <w:r w:rsidR="007264C9" w:rsidRPr="003A086A">
        <w:rPr>
          <w:b/>
          <w:color w:val="2E74B5" w:themeColor="accent5" w:themeShade="BF"/>
        </w:rPr>
        <w:t>A</w:t>
      </w:r>
      <w:r w:rsidR="003A086A" w:rsidRPr="003A086A">
        <w:rPr>
          <w:b/>
          <w:color w:val="2E74B5" w:themeColor="accent5" w:themeShade="BF"/>
        </w:rPr>
        <w:t>rticolul</w:t>
      </w:r>
      <w:r w:rsidR="007264C9" w:rsidRPr="003A086A">
        <w:rPr>
          <w:b/>
          <w:color w:val="2E74B5" w:themeColor="accent5" w:themeShade="BF"/>
        </w:rPr>
        <w:t xml:space="preserve"> 129</w:t>
      </w:r>
      <w:bookmarkEnd w:id="2"/>
      <w:r w:rsidR="007264C9">
        <w:rPr>
          <w:bCs/>
        </w:rPr>
        <w:t>:</w:t>
      </w:r>
    </w:p>
    <w:p w:rsidR="007264C9" w:rsidRPr="002000A5" w:rsidRDefault="007264C9" w:rsidP="007264C9">
      <w:pPr>
        <w:ind w:left="90" w:hanging="90"/>
        <w:jc w:val="both"/>
        <w:rPr>
          <w:bCs/>
          <w:i/>
        </w:rPr>
      </w:pPr>
      <w:r>
        <w:rPr>
          <w:bCs/>
        </w:rPr>
        <w:t>“</w:t>
      </w:r>
      <w:r w:rsidRPr="002000A5">
        <w:rPr>
          <w:bCs/>
          <w:i/>
        </w:rPr>
        <w:t>(1) Consiliul local are iniţiativă şi hotărăşte, în condiţiile legii, în toate problemele de interes local, cu excepţia celor care sunt date prin lege în competenţa altor autorităţi ale administraţiei publice locale sau centrale.</w:t>
      </w:r>
    </w:p>
    <w:p w:rsidR="007264C9" w:rsidRPr="002000A5" w:rsidRDefault="007264C9" w:rsidP="007264C9">
      <w:pPr>
        <w:ind w:left="90" w:hanging="90"/>
        <w:jc w:val="both"/>
        <w:rPr>
          <w:bCs/>
          <w:i/>
        </w:rPr>
      </w:pPr>
      <w:r w:rsidRPr="002000A5">
        <w:rPr>
          <w:bCs/>
          <w:i/>
        </w:rPr>
        <w:t xml:space="preserve"> (2) Consiliul local exercită următoarele categorii de atribuţii:</w:t>
      </w:r>
    </w:p>
    <w:p w:rsidR="007264C9" w:rsidRPr="002000A5" w:rsidRDefault="007264C9" w:rsidP="007264C9">
      <w:pPr>
        <w:ind w:left="90" w:hanging="90"/>
        <w:jc w:val="both"/>
        <w:rPr>
          <w:bCs/>
          <w:i/>
        </w:rPr>
      </w:pPr>
      <w:r w:rsidRPr="002000A5">
        <w:rPr>
          <w:bCs/>
          <w:i/>
        </w:rPr>
        <w:t xml:space="preserve">  a) atribuţii privind unitatea administrativ-teritorială, organizarea proprie, precum şi organizarea şi funcţionarea aparatului de specialitate al primarului, ale instituţiilor publice de interes local şi ale societăţilor şi regiilor autonome de interes local;</w:t>
      </w:r>
      <w:r w:rsidRPr="002000A5">
        <w:rPr>
          <w:bCs/>
          <w:i/>
        </w:rPr>
        <w:t> </w:t>
      </w:r>
    </w:p>
    <w:p w:rsidR="007264C9" w:rsidRPr="002000A5" w:rsidRDefault="007264C9" w:rsidP="007264C9">
      <w:pPr>
        <w:ind w:left="993" w:hanging="993"/>
        <w:rPr>
          <w:bCs/>
          <w:i/>
        </w:rPr>
      </w:pPr>
      <w:r w:rsidRPr="002000A5">
        <w:rPr>
          <w:bCs/>
          <w:i/>
        </w:rPr>
        <w:t xml:space="preserve">  d) atribuţii privind gestionarea serviciilor de interes local;</w:t>
      </w:r>
      <w:r w:rsidRPr="002000A5">
        <w:rPr>
          <w:bCs/>
          <w:i/>
        </w:rPr>
        <w:t> </w:t>
      </w:r>
    </w:p>
    <w:p w:rsidR="007264C9" w:rsidRDefault="007264C9" w:rsidP="007264C9">
      <w:pPr>
        <w:ind w:left="180" w:hanging="993"/>
        <w:jc w:val="both"/>
        <w:rPr>
          <w:bCs/>
          <w:i/>
        </w:rPr>
      </w:pPr>
      <w:r w:rsidRPr="002000A5">
        <w:rPr>
          <w:bCs/>
          <w:i/>
        </w:rPr>
        <w:t xml:space="preserve">               </w:t>
      </w:r>
      <w:r>
        <w:rPr>
          <w:bCs/>
          <w:i/>
        </w:rPr>
        <w:t>(7)</w:t>
      </w:r>
      <w:r w:rsidR="00A261FE">
        <w:rPr>
          <w:bCs/>
          <w:i/>
        </w:rPr>
        <w:t xml:space="preserve"> </w:t>
      </w:r>
      <w:r w:rsidRPr="002000A5">
        <w:rPr>
          <w:bCs/>
          <w:i/>
        </w:rPr>
        <w:t>În exercitarea atribuţiilor prevăzute la alin. (2) lit. d), consiliul local asigură, potrivit</w:t>
      </w:r>
      <w:r>
        <w:rPr>
          <w:bCs/>
          <w:i/>
        </w:rPr>
        <w:t xml:space="preserve"> c</w:t>
      </w:r>
      <w:r w:rsidRPr="002000A5">
        <w:rPr>
          <w:bCs/>
          <w:i/>
        </w:rPr>
        <w:t>ompetenţei sale şi în condiţiile legii, cadrul necesar pentru furnizarea serviciilor publice de interes local privind:</w:t>
      </w:r>
    </w:p>
    <w:p w:rsidR="007264C9" w:rsidRDefault="007264C9" w:rsidP="007264C9">
      <w:pPr>
        <w:ind w:left="180" w:hanging="993"/>
        <w:jc w:val="both"/>
        <w:rPr>
          <w:bCs/>
          <w:i/>
        </w:rPr>
      </w:pPr>
      <w:r w:rsidRPr="002000A5">
        <w:rPr>
          <w:bCs/>
          <w:i/>
        </w:rPr>
        <w:t> </w:t>
      </w:r>
      <w:r w:rsidRPr="002000A5">
        <w:rPr>
          <w:bCs/>
          <w:i/>
        </w:rPr>
        <w:t> </w:t>
      </w:r>
      <w:r>
        <w:rPr>
          <w:bCs/>
          <w:i/>
        </w:rPr>
        <w:t xml:space="preserve">        </w:t>
      </w:r>
      <w:r w:rsidRPr="002000A5">
        <w:rPr>
          <w:bCs/>
          <w:i/>
        </w:rPr>
        <w:t>a) educaţia;</w:t>
      </w:r>
      <w:r>
        <w:rPr>
          <w:bCs/>
          <w:i/>
        </w:rPr>
        <w:t>”</w:t>
      </w:r>
      <w:r w:rsidRPr="002000A5">
        <w:rPr>
          <w:bCs/>
          <w:i/>
        </w:rPr>
        <w:t> </w:t>
      </w:r>
    </w:p>
    <w:p w:rsidR="00981C05" w:rsidRDefault="00981C05" w:rsidP="00981C05">
      <w:pPr>
        <w:ind w:left="180" w:hanging="38"/>
        <w:jc w:val="both"/>
        <w:rPr>
          <w:b/>
          <w:bCs/>
          <w:i/>
        </w:rPr>
      </w:pPr>
    </w:p>
    <w:p w:rsidR="00981C05" w:rsidRDefault="00981C05" w:rsidP="00981C05">
      <w:pPr>
        <w:ind w:left="90" w:firstLine="720"/>
        <w:jc w:val="both"/>
        <w:rPr>
          <w:bCs/>
        </w:rPr>
      </w:pPr>
      <w:r>
        <w:rPr>
          <w:bCs/>
          <w:lang w:val="it-IT"/>
        </w:rPr>
        <w:t xml:space="preserve">Luând în considerare </w:t>
      </w:r>
      <w:r w:rsidRPr="00AE3653">
        <w:rPr>
          <w:bCs/>
          <w:lang w:val="it-IT"/>
        </w:rPr>
        <w:t>art.</w:t>
      </w:r>
      <w:r w:rsidRPr="00AE3653">
        <w:rPr>
          <w:bCs/>
        </w:rPr>
        <w:t xml:space="preserve"> </w:t>
      </w:r>
      <w:r>
        <w:rPr>
          <w:bCs/>
        </w:rPr>
        <w:t xml:space="preserve">596 </w:t>
      </w:r>
      <w:r>
        <w:rPr>
          <w:bCs/>
          <w:lang w:val="it-IT"/>
        </w:rPr>
        <w:t xml:space="preserve">din </w:t>
      </w:r>
      <w:r w:rsidRPr="003A086A">
        <w:rPr>
          <w:b/>
        </w:rPr>
        <w:t>OUG nr. 57/2019</w:t>
      </w:r>
      <w:r w:rsidRPr="00AE3653">
        <w:rPr>
          <w:bCs/>
        </w:rPr>
        <w:t xml:space="preserve"> </w:t>
      </w:r>
      <w:r w:rsidRPr="003A086A">
        <w:rPr>
          <w:bCs/>
          <w:i/>
          <w:iCs/>
        </w:rPr>
        <w:t>privind Codul administrativ</w:t>
      </w:r>
      <w:r w:rsidRPr="00AE3653">
        <w:rPr>
          <w:bCs/>
        </w:rPr>
        <w:t>, cu modificările</w:t>
      </w:r>
      <w:r>
        <w:rPr>
          <w:bCs/>
        </w:rPr>
        <w:t xml:space="preserve"> </w:t>
      </w:r>
      <w:r w:rsidRPr="00AE3653">
        <w:rPr>
          <w:bCs/>
        </w:rPr>
        <w:t>și</w:t>
      </w:r>
      <w:r>
        <w:rPr>
          <w:bCs/>
        </w:rPr>
        <w:t xml:space="preserve"> </w:t>
      </w:r>
      <w:r w:rsidRPr="00AE3653">
        <w:rPr>
          <w:bCs/>
        </w:rPr>
        <w:t>completările</w:t>
      </w:r>
      <w:r>
        <w:rPr>
          <w:bCs/>
        </w:rPr>
        <w:t xml:space="preserve"> </w:t>
      </w:r>
      <w:r w:rsidRPr="00AE3653">
        <w:rPr>
          <w:bCs/>
        </w:rPr>
        <w:t xml:space="preserve">ulterioare, </w:t>
      </w:r>
      <w:r>
        <w:rPr>
          <w:bCs/>
        </w:rPr>
        <w:t>respectiv:</w:t>
      </w:r>
    </w:p>
    <w:p w:rsidR="00981C05" w:rsidRPr="00981C05" w:rsidRDefault="00981C05" w:rsidP="00981C05">
      <w:pPr>
        <w:jc w:val="both"/>
        <w:rPr>
          <w:b/>
          <w:bCs/>
          <w:iCs/>
          <w:color w:val="2E74B5" w:themeColor="accent5" w:themeShade="BF"/>
        </w:rPr>
      </w:pPr>
      <w:r w:rsidRPr="00981C05">
        <w:rPr>
          <w:b/>
          <w:bCs/>
          <w:iCs/>
          <w:color w:val="2E74B5" w:themeColor="accent5" w:themeShade="BF"/>
        </w:rPr>
        <w:t>Articolul 596</w:t>
      </w:r>
    </w:p>
    <w:p w:rsidR="00054C06" w:rsidRDefault="00981C05" w:rsidP="00981C05">
      <w:pPr>
        <w:jc w:val="both"/>
        <w:rPr>
          <w:bCs/>
          <w:i/>
        </w:rPr>
      </w:pPr>
      <w:r>
        <w:rPr>
          <w:bCs/>
          <w:i/>
        </w:rPr>
        <w:t>”</w:t>
      </w:r>
      <w:r w:rsidRPr="00981C05">
        <w:rPr>
          <w:bCs/>
          <w:i/>
        </w:rPr>
        <w:t>Competenţa de desfiinţare sau dizolvare a structurii responsabile cu furnizarea/prestarea serviciilor publice</w:t>
      </w:r>
      <w:r w:rsidR="005B7437">
        <w:rPr>
          <w:bCs/>
          <w:i/>
        </w:rPr>
        <w:t xml:space="preserve"> </w:t>
      </w:r>
    </w:p>
    <w:p w:rsidR="00981C05" w:rsidRDefault="00981C05" w:rsidP="00054C06">
      <w:pPr>
        <w:ind w:firstLine="720"/>
        <w:jc w:val="both"/>
        <w:rPr>
          <w:bCs/>
          <w:i/>
        </w:rPr>
      </w:pPr>
      <w:r w:rsidRPr="00981C05">
        <w:rPr>
          <w:bCs/>
          <w:i/>
        </w:rPr>
        <w:t>Desfiinţarea sau dizolvarea, după caz, a structurii/structurilor responsabile pentru prestarea serviciului public se realizează la iniţiativa autorităţii administraţiei publice centrale competente, în cazul serviciilor publice de interes naţional, şi la iniţiativa autorităţii administraţiei publice locale, în cazul serviciilor publice de interes local.</w:t>
      </w:r>
      <w:r>
        <w:rPr>
          <w:bCs/>
          <w:i/>
        </w:rPr>
        <w:t>”</w:t>
      </w:r>
    </w:p>
    <w:p w:rsidR="00AB5206" w:rsidRDefault="00AB5206" w:rsidP="00C75777">
      <w:pPr>
        <w:pStyle w:val="Standard"/>
        <w:spacing w:after="0" w:line="240" w:lineRule="auto"/>
        <w:ind w:firstLine="720"/>
        <w:jc w:val="both"/>
        <w:rPr>
          <w:rFonts w:ascii="Times New Roman" w:hAnsi="Times New Roman"/>
          <w:bCs/>
          <w:sz w:val="24"/>
          <w:szCs w:val="24"/>
          <w:lang w:val="ro-RO"/>
        </w:rPr>
      </w:pPr>
    </w:p>
    <w:p w:rsidR="00CD27F7" w:rsidRDefault="005F0BE0" w:rsidP="00851ECF">
      <w:pPr>
        <w:pStyle w:val="Standard"/>
        <w:spacing w:after="0" w:line="240" w:lineRule="auto"/>
        <w:jc w:val="both"/>
        <w:rPr>
          <w:rFonts w:ascii="Times New Roman" w:hAnsi="Times New Roman"/>
          <w:sz w:val="24"/>
          <w:szCs w:val="24"/>
          <w:lang w:val="ro-RO"/>
        </w:rPr>
      </w:pPr>
      <w:r w:rsidRPr="00C75777">
        <w:rPr>
          <w:rFonts w:ascii="Times New Roman" w:hAnsi="Times New Roman"/>
          <w:sz w:val="24"/>
          <w:szCs w:val="24"/>
          <w:lang w:val="ro-RO"/>
        </w:rPr>
        <w:t xml:space="preserve">  </w:t>
      </w:r>
      <w:r w:rsidR="00553D04">
        <w:rPr>
          <w:rFonts w:ascii="Times New Roman" w:hAnsi="Times New Roman"/>
          <w:sz w:val="24"/>
          <w:szCs w:val="24"/>
          <w:lang w:val="ro-RO"/>
        </w:rPr>
        <w:t xml:space="preserve"> </w:t>
      </w:r>
      <w:r w:rsidR="00553D04">
        <w:rPr>
          <w:rFonts w:ascii="Times New Roman" w:hAnsi="Times New Roman"/>
          <w:sz w:val="24"/>
          <w:szCs w:val="24"/>
          <w:lang w:val="ro-RO"/>
        </w:rPr>
        <w:tab/>
        <w:t xml:space="preserve"> În temeiul prevederilor art.</w:t>
      </w:r>
      <w:r w:rsidR="00BE7B96">
        <w:rPr>
          <w:rFonts w:ascii="Times New Roman" w:hAnsi="Times New Roman"/>
          <w:sz w:val="24"/>
          <w:szCs w:val="24"/>
          <w:lang w:val="ro-RO"/>
        </w:rPr>
        <w:t xml:space="preserve"> </w:t>
      </w:r>
      <w:r w:rsidRPr="00C75777">
        <w:rPr>
          <w:rFonts w:ascii="Times New Roman" w:hAnsi="Times New Roman"/>
          <w:sz w:val="24"/>
          <w:szCs w:val="24"/>
          <w:lang w:val="ro-RO"/>
        </w:rPr>
        <w:t xml:space="preserve">136 din </w:t>
      </w:r>
      <w:r w:rsidR="00837B2B" w:rsidRPr="00837B2B">
        <w:rPr>
          <w:rFonts w:ascii="Times New Roman" w:hAnsi="Times New Roman"/>
          <w:b/>
          <w:bCs/>
          <w:sz w:val="24"/>
          <w:szCs w:val="24"/>
          <w:lang w:val="ro-RO"/>
        </w:rPr>
        <w:t>OUG</w:t>
      </w:r>
      <w:r w:rsidRPr="00837B2B">
        <w:rPr>
          <w:rFonts w:ascii="Times New Roman" w:hAnsi="Times New Roman"/>
          <w:b/>
          <w:bCs/>
          <w:sz w:val="24"/>
          <w:szCs w:val="24"/>
          <w:lang w:val="ro-RO"/>
        </w:rPr>
        <w:t xml:space="preserve"> nr. 57/2019</w:t>
      </w:r>
      <w:r w:rsidRPr="00C75777">
        <w:rPr>
          <w:rFonts w:ascii="Times New Roman" w:hAnsi="Times New Roman"/>
          <w:sz w:val="24"/>
          <w:szCs w:val="24"/>
          <w:lang w:val="ro-RO"/>
        </w:rPr>
        <w:t xml:space="preserve"> </w:t>
      </w:r>
      <w:r w:rsidRPr="00C75777">
        <w:rPr>
          <w:rFonts w:ascii="Times New Roman" w:hAnsi="Times New Roman"/>
          <w:i/>
          <w:sz w:val="24"/>
          <w:szCs w:val="24"/>
          <w:lang w:val="ro-RO"/>
        </w:rPr>
        <w:t>privind Codul administrativ,</w:t>
      </w:r>
      <w:r w:rsidRPr="00C75777">
        <w:rPr>
          <w:rFonts w:ascii="Times New Roman" w:eastAsia="Times New Roman" w:hAnsi="Times New Roman"/>
          <w:b/>
          <w:sz w:val="24"/>
          <w:szCs w:val="24"/>
          <w:lang w:val="ro-RO"/>
        </w:rPr>
        <w:t xml:space="preserve"> </w:t>
      </w:r>
      <w:r w:rsidRPr="00C75777">
        <w:rPr>
          <w:rFonts w:ascii="Times New Roman" w:eastAsia="Times New Roman" w:hAnsi="Times New Roman"/>
          <w:sz w:val="24"/>
          <w:szCs w:val="24"/>
          <w:lang w:val="ro-RO"/>
        </w:rPr>
        <w:t>cu modificările și completările ulterioare</w:t>
      </w:r>
      <w:r w:rsidRPr="00C75777">
        <w:rPr>
          <w:rFonts w:ascii="Times New Roman" w:hAnsi="Times New Roman"/>
          <w:sz w:val="24"/>
          <w:szCs w:val="24"/>
          <w:lang w:val="ro-RO"/>
        </w:rPr>
        <w:t>, îmi exprim inițiativa de promovare a proiectului de hotărâre privind</w:t>
      </w:r>
      <w:r w:rsidR="00CD27F7" w:rsidRPr="00C75777">
        <w:rPr>
          <w:rFonts w:ascii="Times New Roman" w:hAnsi="Times New Roman"/>
          <w:sz w:val="24"/>
          <w:szCs w:val="24"/>
          <w:lang w:val="ro-RO"/>
        </w:rPr>
        <w:t>:</w:t>
      </w:r>
    </w:p>
    <w:p w:rsidR="007E7724" w:rsidRPr="002D1E75" w:rsidRDefault="007E7724" w:rsidP="00054C06">
      <w:pPr>
        <w:pStyle w:val="ListParagraph"/>
        <w:numPr>
          <w:ilvl w:val="0"/>
          <w:numId w:val="12"/>
        </w:numPr>
        <w:ind w:left="709"/>
        <w:jc w:val="both"/>
        <w:rPr>
          <w:rFonts w:ascii="Times New Roman" w:hAnsi="Times New Roman"/>
          <w:b/>
          <w:bCs/>
          <w:i/>
          <w:sz w:val="24"/>
          <w:szCs w:val="24"/>
          <w:lang w:eastAsia="ar-SA"/>
        </w:rPr>
      </w:pPr>
      <w:r w:rsidRPr="005E33B3">
        <w:rPr>
          <w:b/>
          <w:i/>
          <w:sz w:val="24"/>
          <w:szCs w:val="24"/>
          <w:lang w:eastAsia="ar-SA"/>
        </w:rPr>
        <w:t xml:space="preserve"> </w:t>
      </w:r>
      <w:bookmarkStart w:id="3" w:name="_Hlk108776236"/>
      <w:r w:rsidR="00C554BC">
        <w:rPr>
          <w:rFonts w:ascii="Times New Roman" w:hAnsi="Times New Roman"/>
          <w:b/>
          <w:i/>
          <w:sz w:val="24"/>
          <w:szCs w:val="24"/>
          <w:lang w:eastAsia="ar-SA"/>
        </w:rPr>
        <w:t>încet</w:t>
      </w:r>
      <w:r w:rsidR="00851ECF" w:rsidRPr="00851ECF">
        <w:rPr>
          <w:rFonts w:ascii="Times New Roman" w:hAnsi="Times New Roman"/>
          <w:b/>
          <w:i/>
          <w:sz w:val="24"/>
          <w:szCs w:val="24"/>
          <w:lang w:eastAsia="ar-SA"/>
        </w:rPr>
        <w:t>area</w:t>
      </w:r>
      <w:r w:rsidR="00C554BC">
        <w:rPr>
          <w:rFonts w:ascii="Times New Roman" w:hAnsi="Times New Roman"/>
          <w:b/>
          <w:i/>
          <w:sz w:val="24"/>
          <w:szCs w:val="24"/>
          <w:lang w:eastAsia="ar-SA"/>
        </w:rPr>
        <w:t xml:space="preserve"> activității</w:t>
      </w:r>
      <w:r w:rsidR="00851ECF" w:rsidRPr="00851ECF">
        <w:rPr>
          <w:rFonts w:ascii="Times New Roman" w:hAnsi="Times New Roman"/>
          <w:b/>
          <w:i/>
          <w:sz w:val="24"/>
          <w:szCs w:val="24"/>
          <w:lang w:eastAsia="ar-SA"/>
        </w:rPr>
        <w:t xml:space="preserve"> unității de învățământ antepreșcolar cu personalitate juridică ”Creșa Timișoara”</w:t>
      </w:r>
      <w:r w:rsidR="00851ECF">
        <w:rPr>
          <w:rFonts w:ascii="Times New Roman" w:hAnsi="Times New Roman"/>
          <w:b/>
          <w:i/>
          <w:sz w:val="24"/>
          <w:szCs w:val="24"/>
          <w:lang w:eastAsia="ar-SA"/>
        </w:rPr>
        <w:t xml:space="preserve">, </w:t>
      </w:r>
      <w:r w:rsidR="00A76C3C" w:rsidRPr="00A76C3C">
        <w:rPr>
          <w:rFonts w:ascii="Times New Roman" w:hAnsi="Times New Roman"/>
          <w:b/>
          <w:i/>
          <w:sz w:val="24"/>
          <w:szCs w:val="24"/>
          <w:lang w:eastAsia="ar-SA"/>
        </w:rPr>
        <w:t>la data de 01.08.2022</w:t>
      </w:r>
      <w:r w:rsidR="00D30647" w:rsidRPr="002D1E75">
        <w:rPr>
          <w:rFonts w:ascii="Times New Roman" w:hAnsi="Times New Roman"/>
          <w:b/>
          <w:i/>
          <w:sz w:val="24"/>
          <w:szCs w:val="24"/>
          <w:lang w:eastAsia="ar-SA"/>
        </w:rPr>
        <w:t>.</w:t>
      </w:r>
      <w:bookmarkEnd w:id="3"/>
    </w:p>
    <w:p w:rsidR="0064712E" w:rsidRPr="00C75777" w:rsidRDefault="0064712E" w:rsidP="00512C27">
      <w:pPr>
        <w:pStyle w:val="BodyText2"/>
        <w:ind w:left="360"/>
        <w:jc w:val="both"/>
        <w:rPr>
          <w:szCs w:val="24"/>
        </w:rPr>
      </w:pPr>
    </w:p>
    <w:p w:rsidR="00B33E56" w:rsidRPr="00B33E56" w:rsidRDefault="00B33E56" w:rsidP="00C75777">
      <w:pPr>
        <w:jc w:val="center"/>
        <w:rPr>
          <w:b/>
          <w:lang w:val="ro-RO"/>
        </w:rPr>
      </w:pPr>
    </w:p>
    <w:p w:rsidR="00D414F5" w:rsidRPr="004B4977" w:rsidRDefault="006E21A4" w:rsidP="00C75777">
      <w:pPr>
        <w:jc w:val="center"/>
        <w:rPr>
          <w:b/>
        </w:rPr>
      </w:pPr>
      <w:r w:rsidRPr="004B4977">
        <w:rPr>
          <w:b/>
        </w:rPr>
        <w:t>PRIMAR</w:t>
      </w:r>
      <w:r w:rsidR="00D414F5" w:rsidRPr="004B4977">
        <w:rPr>
          <w:b/>
        </w:rPr>
        <w:t>,</w:t>
      </w:r>
    </w:p>
    <w:p w:rsidR="00B22EB0" w:rsidRDefault="00622DA3" w:rsidP="00D31F76">
      <w:pPr>
        <w:jc w:val="center"/>
      </w:pPr>
      <w:r w:rsidRPr="004B4977">
        <w:rPr>
          <w:b/>
        </w:rPr>
        <w:t xml:space="preserve">Dominic </w:t>
      </w:r>
      <w:r w:rsidR="006E21A4" w:rsidRPr="004B4977">
        <w:rPr>
          <w:b/>
        </w:rPr>
        <w:t>FRITZ</w:t>
      </w:r>
    </w:p>
    <w:sectPr w:rsidR="00B22EB0" w:rsidSect="00C52A77">
      <w:footerReference w:type="default" r:id="rId9"/>
      <w:pgSz w:w="12240" w:h="15840"/>
      <w:pgMar w:top="1080"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0D9" w:rsidRDefault="00CC70D9" w:rsidP="00E545D2">
      <w:r>
        <w:separator/>
      </w:r>
    </w:p>
  </w:endnote>
  <w:endnote w:type="continuationSeparator" w:id="1">
    <w:p w:rsidR="00CC70D9" w:rsidRDefault="00CC70D9" w:rsidP="00E545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277344"/>
      <w:docPartObj>
        <w:docPartGallery w:val="Page Numbers (Bottom of Page)"/>
        <w:docPartUnique/>
      </w:docPartObj>
    </w:sdtPr>
    <w:sdtContent>
      <w:sdt>
        <w:sdtPr>
          <w:id w:val="565050477"/>
          <w:docPartObj>
            <w:docPartGallery w:val="Page Numbers (Top of Page)"/>
            <w:docPartUnique/>
          </w:docPartObj>
        </w:sdtPr>
        <w:sdtContent>
          <w:p w:rsidR="000D6A29" w:rsidRDefault="000D6A29">
            <w:pPr>
              <w:pStyle w:val="Footer"/>
              <w:jc w:val="center"/>
            </w:pPr>
            <w:r>
              <w:t xml:space="preserve">Pagina </w:t>
            </w:r>
            <w:r w:rsidR="00F362F3">
              <w:rPr>
                <w:b/>
              </w:rPr>
              <w:fldChar w:fldCharType="begin"/>
            </w:r>
            <w:r>
              <w:rPr>
                <w:b/>
              </w:rPr>
              <w:instrText xml:space="preserve"> PAGE </w:instrText>
            </w:r>
            <w:r w:rsidR="00F362F3">
              <w:rPr>
                <w:b/>
              </w:rPr>
              <w:fldChar w:fldCharType="separate"/>
            </w:r>
            <w:r w:rsidR="00AB3559">
              <w:rPr>
                <w:b/>
                <w:noProof/>
              </w:rPr>
              <w:t>4</w:t>
            </w:r>
            <w:r w:rsidR="00F362F3">
              <w:rPr>
                <w:b/>
              </w:rPr>
              <w:fldChar w:fldCharType="end"/>
            </w:r>
            <w:r>
              <w:t xml:space="preserve"> din </w:t>
            </w:r>
            <w:r w:rsidR="00F362F3">
              <w:rPr>
                <w:b/>
              </w:rPr>
              <w:fldChar w:fldCharType="begin"/>
            </w:r>
            <w:r>
              <w:rPr>
                <w:b/>
              </w:rPr>
              <w:instrText xml:space="preserve"> NUMPAGES  </w:instrText>
            </w:r>
            <w:r w:rsidR="00F362F3">
              <w:rPr>
                <w:b/>
              </w:rPr>
              <w:fldChar w:fldCharType="separate"/>
            </w:r>
            <w:r w:rsidR="00AB3559">
              <w:rPr>
                <w:b/>
                <w:noProof/>
              </w:rPr>
              <w:t>4</w:t>
            </w:r>
            <w:r w:rsidR="00F362F3">
              <w:rPr>
                <w:b/>
              </w:rPr>
              <w:fldChar w:fldCharType="end"/>
            </w:r>
          </w:p>
        </w:sdtContent>
      </w:sdt>
    </w:sdtContent>
  </w:sdt>
  <w:p w:rsidR="000D6A29" w:rsidRDefault="000D6A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0D9" w:rsidRDefault="00CC70D9" w:rsidP="00E545D2">
      <w:r>
        <w:separator/>
      </w:r>
    </w:p>
  </w:footnote>
  <w:footnote w:type="continuationSeparator" w:id="1">
    <w:p w:rsidR="00CC70D9" w:rsidRDefault="00CC70D9" w:rsidP="00E545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msoA48F"/>
      </v:shape>
    </w:pict>
  </w:numPicBullet>
  <w:abstractNum w:abstractNumId="0">
    <w:nsid w:val="10B82859"/>
    <w:multiLevelType w:val="hybridMultilevel"/>
    <w:tmpl w:val="81507D58"/>
    <w:lvl w:ilvl="0" w:tplc="4D226EA0">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15910899"/>
    <w:multiLevelType w:val="hybridMultilevel"/>
    <w:tmpl w:val="F17E13AA"/>
    <w:lvl w:ilvl="0" w:tplc="04180009">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6D47427"/>
    <w:multiLevelType w:val="hybridMultilevel"/>
    <w:tmpl w:val="B4EE9F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F92B0F"/>
    <w:multiLevelType w:val="multilevel"/>
    <w:tmpl w:val="53322F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D5340A1"/>
    <w:multiLevelType w:val="hybridMultilevel"/>
    <w:tmpl w:val="A8566698"/>
    <w:lvl w:ilvl="0" w:tplc="9B54821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8E212CD"/>
    <w:multiLevelType w:val="hybridMultilevel"/>
    <w:tmpl w:val="0D82B40C"/>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8240B5F"/>
    <w:multiLevelType w:val="hybridMultilevel"/>
    <w:tmpl w:val="C32645FC"/>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E4656CE"/>
    <w:multiLevelType w:val="hybridMultilevel"/>
    <w:tmpl w:val="DBD2946A"/>
    <w:lvl w:ilvl="0" w:tplc="726ABB0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4B067334"/>
    <w:multiLevelType w:val="hybridMultilevel"/>
    <w:tmpl w:val="D0C6F2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2F260E0"/>
    <w:multiLevelType w:val="hybridMultilevel"/>
    <w:tmpl w:val="7336474A"/>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5A0E17A0"/>
    <w:multiLevelType w:val="hybridMultilevel"/>
    <w:tmpl w:val="FC862ABC"/>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3A7E54"/>
    <w:multiLevelType w:val="hybridMultilevel"/>
    <w:tmpl w:val="1A8CB5D4"/>
    <w:lvl w:ilvl="0" w:tplc="8452D22A">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3">
    <w:nsid w:val="718A1E67"/>
    <w:multiLevelType w:val="multilevel"/>
    <w:tmpl w:val="0B760B06"/>
    <w:lvl w:ilvl="0">
      <w:start w:val="2"/>
      <w:numFmt w:val="bullet"/>
      <w:lvlText w:val="-"/>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73375589"/>
    <w:multiLevelType w:val="hybridMultilevel"/>
    <w:tmpl w:val="B95EECF4"/>
    <w:lvl w:ilvl="0" w:tplc="9552EA30">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nsid w:val="759A5390"/>
    <w:multiLevelType w:val="singleLevel"/>
    <w:tmpl w:val="759A5390"/>
    <w:lvl w:ilvl="0">
      <w:start w:val="2"/>
      <w:numFmt w:val="bullet"/>
      <w:lvlText w:val="-"/>
      <w:lvlJc w:val="left"/>
      <w:pPr>
        <w:tabs>
          <w:tab w:val="left" w:pos="360"/>
        </w:tabs>
        <w:ind w:left="360" w:hanging="360"/>
      </w:pPr>
      <w:rPr>
        <w:rFonts w:hint="default"/>
      </w:rPr>
    </w:lvl>
  </w:abstractNum>
  <w:abstractNum w:abstractNumId="16">
    <w:nsid w:val="7E3C2231"/>
    <w:multiLevelType w:val="multilevel"/>
    <w:tmpl w:val="E860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4"/>
  </w:num>
  <w:num w:numId="4">
    <w:abstractNumId w:val="14"/>
  </w:num>
  <w:num w:numId="5">
    <w:abstractNumId w:val="7"/>
  </w:num>
  <w:num w:numId="6">
    <w:abstractNumId w:val="9"/>
  </w:num>
  <w:num w:numId="7">
    <w:abstractNumId w:val="5"/>
  </w:num>
  <w:num w:numId="8">
    <w:abstractNumId w:val="6"/>
  </w:num>
  <w:num w:numId="9">
    <w:abstractNumId w:val="1"/>
  </w:num>
  <w:num w:numId="10">
    <w:abstractNumId w:val="10"/>
  </w:num>
  <w:num w:numId="11">
    <w:abstractNumId w:val="15"/>
  </w:num>
  <w:num w:numId="12">
    <w:abstractNumId w:val="2"/>
  </w:num>
  <w:num w:numId="13">
    <w:abstractNumId w:val="8"/>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6"/>
  </w:num>
  <w:num w:numId="17">
    <w:abstractNumId w:val="3"/>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F9396F"/>
    <w:rsid w:val="00007A6F"/>
    <w:rsid w:val="0003080D"/>
    <w:rsid w:val="00032594"/>
    <w:rsid w:val="00037DB1"/>
    <w:rsid w:val="00051360"/>
    <w:rsid w:val="000516BE"/>
    <w:rsid w:val="00054C06"/>
    <w:rsid w:val="0006002F"/>
    <w:rsid w:val="0006347B"/>
    <w:rsid w:val="000673A3"/>
    <w:rsid w:val="00086883"/>
    <w:rsid w:val="00087217"/>
    <w:rsid w:val="000A1A2D"/>
    <w:rsid w:val="000C73A6"/>
    <w:rsid w:val="000D6A29"/>
    <w:rsid w:val="0011062B"/>
    <w:rsid w:val="0012118A"/>
    <w:rsid w:val="00122EA0"/>
    <w:rsid w:val="001275C3"/>
    <w:rsid w:val="00127FDC"/>
    <w:rsid w:val="0013066D"/>
    <w:rsid w:val="0014225D"/>
    <w:rsid w:val="001614FB"/>
    <w:rsid w:val="0016317E"/>
    <w:rsid w:val="001634A1"/>
    <w:rsid w:val="0016732E"/>
    <w:rsid w:val="00174A68"/>
    <w:rsid w:val="001805F6"/>
    <w:rsid w:val="00186AEE"/>
    <w:rsid w:val="001A1F2A"/>
    <w:rsid w:val="001A6B44"/>
    <w:rsid w:val="001D6B44"/>
    <w:rsid w:val="001E0730"/>
    <w:rsid w:val="001E28D6"/>
    <w:rsid w:val="002000A5"/>
    <w:rsid w:val="00213C79"/>
    <w:rsid w:val="002327CE"/>
    <w:rsid w:val="00244009"/>
    <w:rsid w:val="0025351B"/>
    <w:rsid w:val="002729D6"/>
    <w:rsid w:val="002A5F20"/>
    <w:rsid w:val="002A6265"/>
    <w:rsid w:val="002A7B4E"/>
    <w:rsid w:val="002D1E75"/>
    <w:rsid w:val="002D70E1"/>
    <w:rsid w:val="002E5FFF"/>
    <w:rsid w:val="002F27B0"/>
    <w:rsid w:val="002F4276"/>
    <w:rsid w:val="002F7D52"/>
    <w:rsid w:val="00302602"/>
    <w:rsid w:val="00312A45"/>
    <w:rsid w:val="0031520D"/>
    <w:rsid w:val="0033014E"/>
    <w:rsid w:val="0033144D"/>
    <w:rsid w:val="003316E1"/>
    <w:rsid w:val="003320D9"/>
    <w:rsid w:val="0034523D"/>
    <w:rsid w:val="003528EA"/>
    <w:rsid w:val="00375E32"/>
    <w:rsid w:val="003767E1"/>
    <w:rsid w:val="00377B4B"/>
    <w:rsid w:val="00385314"/>
    <w:rsid w:val="003A086A"/>
    <w:rsid w:val="003A4DF4"/>
    <w:rsid w:val="003A6BA0"/>
    <w:rsid w:val="003C27F5"/>
    <w:rsid w:val="003C70DA"/>
    <w:rsid w:val="003D11BF"/>
    <w:rsid w:val="004009DC"/>
    <w:rsid w:val="00402954"/>
    <w:rsid w:val="00405741"/>
    <w:rsid w:val="0040677D"/>
    <w:rsid w:val="00416141"/>
    <w:rsid w:val="00425045"/>
    <w:rsid w:val="004644B9"/>
    <w:rsid w:val="00465417"/>
    <w:rsid w:val="00471370"/>
    <w:rsid w:val="0047672D"/>
    <w:rsid w:val="0048447F"/>
    <w:rsid w:val="00485600"/>
    <w:rsid w:val="00486A86"/>
    <w:rsid w:val="004966AA"/>
    <w:rsid w:val="004A243A"/>
    <w:rsid w:val="004B4977"/>
    <w:rsid w:val="004D4C96"/>
    <w:rsid w:val="00501519"/>
    <w:rsid w:val="00507122"/>
    <w:rsid w:val="00510567"/>
    <w:rsid w:val="00511D60"/>
    <w:rsid w:val="00512C27"/>
    <w:rsid w:val="00521553"/>
    <w:rsid w:val="00521A22"/>
    <w:rsid w:val="0052774A"/>
    <w:rsid w:val="00532029"/>
    <w:rsid w:val="00542993"/>
    <w:rsid w:val="00543307"/>
    <w:rsid w:val="00544141"/>
    <w:rsid w:val="00553D04"/>
    <w:rsid w:val="00565843"/>
    <w:rsid w:val="00567420"/>
    <w:rsid w:val="005730AD"/>
    <w:rsid w:val="00580756"/>
    <w:rsid w:val="00595558"/>
    <w:rsid w:val="005A4D3F"/>
    <w:rsid w:val="005A63B9"/>
    <w:rsid w:val="005B07A0"/>
    <w:rsid w:val="005B7437"/>
    <w:rsid w:val="005C28EB"/>
    <w:rsid w:val="005D0201"/>
    <w:rsid w:val="005E33B3"/>
    <w:rsid w:val="005E61E3"/>
    <w:rsid w:val="005E6AF0"/>
    <w:rsid w:val="005F0BE0"/>
    <w:rsid w:val="005F7FE7"/>
    <w:rsid w:val="006123AE"/>
    <w:rsid w:val="006157CC"/>
    <w:rsid w:val="006161C1"/>
    <w:rsid w:val="0062216F"/>
    <w:rsid w:val="00622DA3"/>
    <w:rsid w:val="00644D14"/>
    <w:rsid w:val="0064712E"/>
    <w:rsid w:val="00652CE4"/>
    <w:rsid w:val="00662EEC"/>
    <w:rsid w:val="00671ED4"/>
    <w:rsid w:val="006722E9"/>
    <w:rsid w:val="0067697B"/>
    <w:rsid w:val="00691A16"/>
    <w:rsid w:val="006B60FA"/>
    <w:rsid w:val="006C3B33"/>
    <w:rsid w:val="006C6C49"/>
    <w:rsid w:val="006E21A4"/>
    <w:rsid w:val="006E2472"/>
    <w:rsid w:val="006F3438"/>
    <w:rsid w:val="006F58D2"/>
    <w:rsid w:val="0070033A"/>
    <w:rsid w:val="00701FAF"/>
    <w:rsid w:val="0071235C"/>
    <w:rsid w:val="00724FE7"/>
    <w:rsid w:val="007264C9"/>
    <w:rsid w:val="007376F9"/>
    <w:rsid w:val="007527ED"/>
    <w:rsid w:val="00772A39"/>
    <w:rsid w:val="00776955"/>
    <w:rsid w:val="00783B28"/>
    <w:rsid w:val="00791281"/>
    <w:rsid w:val="00792B65"/>
    <w:rsid w:val="007937A8"/>
    <w:rsid w:val="00794ADF"/>
    <w:rsid w:val="007A5508"/>
    <w:rsid w:val="007E7415"/>
    <w:rsid w:val="007E7724"/>
    <w:rsid w:val="007F0183"/>
    <w:rsid w:val="007F33DC"/>
    <w:rsid w:val="007F5EA8"/>
    <w:rsid w:val="0080691C"/>
    <w:rsid w:val="00807F94"/>
    <w:rsid w:val="0081243F"/>
    <w:rsid w:val="008207FA"/>
    <w:rsid w:val="00837B2B"/>
    <w:rsid w:val="008452CD"/>
    <w:rsid w:val="00846C4E"/>
    <w:rsid w:val="00851ECF"/>
    <w:rsid w:val="00855415"/>
    <w:rsid w:val="00855EC6"/>
    <w:rsid w:val="008569A1"/>
    <w:rsid w:val="00862A0D"/>
    <w:rsid w:val="0086571F"/>
    <w:rsid w:val="00874785"/>
    <w:rsid w:val="008837D8"/>
    <w:rsid w:val="00890E15"/>
    <w:rsid w:val="00891632"/>
    <w:rsid w:val="00896895"/>
    <w:rsid w:val="008A4ED1"/>
    <w:rsid w:val="008B2F73"/>
    <w:rsid w:val="008B3799"/>
    <w:rsid w:val="008C36EC"/>
    <w:rsid w:val="008D0807"/>
    <w:rsid w:val="008D3FD8"/>
    <w:rsid w:val="008E277C"/>
    <w:rsid w:val="008E38A7"/>
    <w:rsid w:val="00901EF7"/>
    <w:rsid w:val="00913263"/>
    <w:rsid w:val="009150BB"/>
    <w:rsid w:val="0093285E"/>
    <w:rsid w:val="00952024"/>
    <w:rsid w:val="00967E18"/>
    <w:rsid w:val="0098179B"/>
    <w:rsid w:val="00981C05"/>
    <w:rsid w:val="00991F0B"/>
    <w:rsid w:val="009B0F48"/>
    <w:rsid w:val="009B6DE5"/>
    <w:rsid w:val="009C007A"/>
    <w:rsid w:val="009C01EC"/>
    <w:rsid w:val="009C0B19"/>
    <w:rsid w:val="00A15E41"/>
    <w:rsid w:val="00A16EA2"/>
    <w:rsid w:val="00A209BC"/>
    <w:rsid w:val="00A261FE"/>
    <w:rsid w:val="00A3213F"/>
    <w:rsid w:val="00A413A1"/>
    <w:rsid w:val="00A50EC7"/>
    <w:rsid w:val="00A53BDC"/>
    <w:rsid w:val="00A53F32"/>
    <w:rsid w:val="00A61C1C"/>
    <w:rsid w:val="00A7575E"/>
    <w:rsid w:val="00A76C3C"/>
    <w:rsid w:val="00AA1A25"/>
    <w:rsid w:val="00AA4A19"/>
    <w:rsid w:val="00AA7168"/>
    <w:rsid w:val="00AB3559"/>
    <w:rsid w:val="00AB5206"/>
    <w:rsid w:val="00AD7435"/>
    <w:rsid w:val="00AE10C9"/>
    <w:rsid w:val="00AE130A"/>
    <w:rsid w:val="00AE3653"/>
    <w:rsid w:val="00AF4C63"/>
    <w:rsid w:val="00B1075B"/>
    <w:rsid w:val="00B22EB0"/>
    <w:rsid w:val="00B33E56"/>
    <w:rsid w:val="00B36098"/>
    <w:rsid w:val="00B5496E"/>
    <w:rsid w:val="00B617F4"/>
    <w:rsid w:val="00B63774"/>
    <w:rsid w:val="00B6530A"/>
    <w:rsid w:val="00BA1593"/>
    <w:rsid w:val="00BA7E11"/>
    <w:rsid w:val="00BD3D73"/>
    <w:rsid w:val="00BD428C"/>
    <w:rsid w:val="00BE7B96"/>
    <w:rsid w:val="00BF3645"/>
    <w:rsid w:val="00C01AC8"/>
    <w:rsid w:val="00C037E3"/>
    <w:rsid w:val="00C52A77"/>
    <w:rsid w:val="00C554BC"/>
    <w:rsid w:val="00C55B8B"/>
    <w:rsid w:val="00C57503"/>
    <w:rsid w:val="00C718BB"/>
    <w:rsid w:val="00C725CD"/>
    <w:rsid w:val="00C75777"/>
    <w:rsid w:val="00CA4A3A"/>
    <w:rsid w:val="00CC70D9"/>
    <w:rsid w:val="00CD27F7"/>
    <w:rsid w:val="00CE1C1F"/>
    <w:rsid w:val="00CF1A94"/>
    <w:rsid w:val="00CF1BD1"/>
    <w:rsid w:val="00CF7F61"/>
    <w:rsid w:val="00D11930"/>
    <w:rsid w:val="00D21658"/>
    <w:rsid w:val="00D251B9"/>
    <w:rsid w:val="00D30647"/>
    <w:rsid w:val="00D31F76"/>
    <w:rsid w:val="00D414F5"/>
    <w:rsid w:val="00D64A36"/>
    <w:rsid w:val="00D75BC8"/>
    <w:rsid w:val="00D81B48"/>
    <w:rsid w:val="00D92221"/>
    <w:rsid w:val="00DC0C4D"/>
    <w:rsid w:val="00DE3C9D"/>
    <w:rsid w:val="00E27899"/>
    <w:rsid w:val="00E32F75"/>
    <w:rsid w:val="00E355C7"/>
    <w:rsid w:val="00E452EA"/>
    <w:rsid w:val="00E46694"/>
    <w:rsid w:val="00E502F1"/>
    <w:rsid w:val="00E545D2"/>
    <w:rsid w:val="00E5712B"/>
    <w:rsid w:val="00E72A7D"/>
    <w:rsid w:val="00E84934"/>
    <w:rsid w:val="00EA433F"/>
    <w:rsid w:val="00EB4F16"/>
    <w:rsid w:val="00EC0B1B"/>
    <w:rsid w:val="00ED1D64"/>
    <w:rsid w:val="00F042EE"/>
    <w:rsid w:val="00F22797"/>
    <w:rsid w:val="00F348DE"/>
    <w:rsid w:val="00F362F3"/>
    <w:rsid w:val="00F45311"/>
    <w:rsid w:val="00F46907"/>
    <w:rsid w:val="00F52128"/>
    <w:rsid w:val="00F9396F"/>
    <w:rsid w:val="00FA776C"/>
    <w:rsid w:val="00FA776E"/>
    <w:rsid w:val="00FC60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1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1A4"/>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6E21A4"/>
    <w:pPr>
      <w:spacing w:after="0" w:line="240" w:lineRule="auto"/>
    </w:pPr>
    <w:rPr>
      <w:rFonts w:ascii="Calibri" w:eastAsia="Calibri" w:hAnsi="Calibri" w:cs="Times New Roman"/>
      <w:lang w:val="ro-RO"/>
    </w:rPr>
  </w:style>
  <w:style w:type="paragraph" w:styleId="BodyText2">
    <w:name w:val="Body Text 2"/>
    <w:basedOn w:val="Normal"/>
    <w:link w:val="BodyText2Char"/>
    <w:rsid w:val="0033014E"/>
    <w:pPr>
      <w:jc w:val="center"/>
    </w:pPr>
    <w:rPr>
      <w:b/>
      <w:szCs w:val="20"/>
      <w:lang w:val="ro-RO"/>
    </w:rPr>
  </w:style>
  <w:style w:type="character" w:customStyle="1" w:styleId="BodyText2Char">
    <w:name w:val="Body Text 2 Char"/>
    <w:basedOn w:val="DefaultParagraphFont"/>
    <w:link w:val="BodyText2"/>
    <w:rsid w:val="0033014E"/>
    <w:rPr>
      <w:rFonts w:ascii="Times New Roman" w:eastAsia="Times New Roman" w:hAnsi="Times New Roman" w:cs="Times New Roman"/>
      <w:b/>
      <w:sz w:val="24"/>
      <w:szCs w:val="20"/>
      <w:lang w:val="ro-RO"/>
    </w:rPr>
  </w:style>
  <w:style w:type="paragraph" w:styleId="BodyTextIndent2">
    <w:name w:val="Body Text Indent 2"/>
    <w:basedOn w:val="Normal"/>
    <w:link w:val="BodyTextIndent2Char"/>
    <w:rsid w:val="0033014E"/>
    <w:pPr>
      <w:ind w:firstLine="720"/>
      <w:jc w:val="both"/>
    </w:pPr>
    <w:rPr>
      <w:sz w:val="20"/>
      <w:szCs w:val="20"/>
      <w:lang w:val="ro-RO"/>
    </w:rPr>
  </w:style>
  <w:style w:type="character" w:customStyle="1" w:styleId="BodyTextIndent2Char">
    <w:name w:val="Body Text Indent 2 Char"/>
    <w:basedOn w:val="DefaultParagraphFont"/>
    <w:link w:val="BodyTextIndent2"/>
    <w:rsid w:val="0033014E"/>
    <w:rPr>
      <w:rFonts w:ascii="Times New Roman" w:eastAsia="Times New Roman" w:hAnsi="Times New Roman" w:cs="Times New Roman"/>
      <w:sz w:val="20"/>
      <w:szCs w:val="20"/>
      <w:lang w:val="ro-RO"/>
    </w:rPr>
  </w:style>
  <w:style w:type="paragraph" w:customStyle="1" w:styleId="Standard">
    <w:name w:val="Standard"/>
    <w:rsid w:val="0033014E"/>
    <w:pPr>
      <w:suppressAutoHyphens/>
      <w:autoSpaceDN w:val="0"/>
      <w:spacing w:after="200" w:line="276" w:lineRule="auto"/>
      <w:textAlignment w:val="baseline"/>
    </w:pPr>
    <w:rPr>
      <w:rFonts w:ascii="Calibri" w:eastAsia="Calibri" w:hAnsi="Calibri" w:cs="Times New Roman"/>
      <w:kern w:val="3"/>
      <w:lang w:eastAsia="ar-SA"/>
    </w:rPr>
  </w:style>
  <w:style w:type="paragraph" w:styleId="Header">
    <w:name w:val="header"/>
    <w:basedOn w:val="Normal"/>
    <w:link w:val="HeaderChar"/>
    <w:uiPriority w:val="99"/>
    <w:semiHidden/>
    <w:unhideWhenUsed/>
    <w:rsid w:val="00A15E41"/>
    <w:pPr>
      <w:tabs>
        <w:tab w:val="center" w:pos="4536"/>
        <w:tab w:val="right" w:pos="9072"/>
      </w:tabs>
    </w:pPr>
    <w:rPr>
      <w:rFonts w:ascii="Calibri" w:eastAsia="Calibri" w:hAnsi="Calibri"/>
      <w:sz w:val="22"/>
      <w:szCs w:val="22"/>
      <w:lang w:val="ro-RO"/>
    </w:rPr>
  </w:style>
  <w:style w:type="character" w:customStyle="1" w:styleId="HeaderChar">
    <w:name w:val="Header Char"/>
    <w:basedOn w:val="DefaultParagraphFont"/>
    <w:link w:val="Header"/>
    <w:uiPriority w:val="99"/>
    <w:semiHidden/>
    <w:rsid w:val="00A15E41"/>
    <w:rPr>
      <w:rFonts w:ascii="Calibri" w:eastAsia="Calibri" w:hAnsi="Calibri" w:cs="Times New Roman"/>
      <w:lang w:val="ro-RO"/>
    </w:rPr>
  </w:style>
  <w:style w:type="paragraph" w:styleId="Footer">
    <w:name w:val="footer"/>
    <w:basedOn w:val="Normal"/>
    <w:link w:val="FooterChar"/>
    <w:uiPriority w:val="99"/>
    <w:unhideWhenUsed/>
    <w:rsid w:val="00E545D2"/>
    <w:pPr>
      <w:tabs>
        <w:tab w:val="center" w:pos="4536"/>
        <w:tab w:val="right" w:pos="9072"/>
      </w:tabs>
    </w:pPr>
  </w:style>
  <w:style w:type="character" w:customStyle="1" w:styleId="FooterChar">
    <w:name w:val="Footer Char"/>
    <w:basedOn w:val="DefaultParagraphFont"/>
    <w:link w:val="Footer"/>
    <w:uiPriority w:val="99"/>
    <w:rsid w:val="00E545D2"/>
    <w:rPr>
      <w:rFonts w:ascii="Times New Roman" w:eastAsia="Times New Roman" w:hAnsi="Times New Roman" w:cs="Times New Roman"/>
      <w:sz w:val="24"/>
      <w:szCs w:val="24"/>
    </w:rPr>
  </w:style>
  <w:style w:type="character" w:customStyle="1" w:styleId="spctttl">
    <w:name w:val="s_pct_ttl"/>
    <w:basedOn w:val="DefaultParagraphFont"/>
    <w:rsid w:val="002D70E1"/>
  </w:style>
  <w:style w:type="character" w:customStyle="1" w:styleId="spctbdy">
    <w:name w:val="s_pct_bdy"/>
    <w:basedOn w:val="DefaultParagraphFont"/>
    <w:rsid w:val="002D70E1"/>
  </w:style>
  <w:style w:type="character" w:styleId="Hyperlink">
    <w:name w:val="Hyperlink"/>
    <w:basedOn w:val="DefaultParagraphFont"/>
    <w:uiPriority w:val="99"/>
    <w:semiHidden/>
    <w:unhideWhenUsed/>
    <w:rsid w:val="002D70E1"/>
    <w:rPr>
      <w:color w:val="0000FF"/>
      <w:u w:val="single"/>
    </w:rPr>
  </w:style>
  <w:style w:type="character" w:customStyle="1" w:styleId="scit">
    <w:name w:val="s_cit"/>
    <w:basedOn w:val="DefaultParagraphFont"/>
    <w:rsid w:val="002D70E1"/>
  </w:style>
  <w:style w:type="paragraph" w:customStyle="1" w:styleId="sartttl">
    <w:name w:val="s_art_ttl"/>
    <w:basedOn w:val="Normal"/>
    <w:rsid w:val="002D70E1"/>
    <w:pPr>
      <w:spacing w:before="100" w:beforeAutospacing="1" w:after="100" w:afterAutospacing="1"/>
    </w:pPr>
    <w:rPr>
      <w:lang w:val="ro-RO" w:eastAsia="ro-RO"/>
    </w:rPr>
  </w:style>
  <w:style w:type="character" w:customStyle="1" w:styleId="salnttl">
    <w:name w:val="s_aln_ttl"/>
    <w:basedOn w:val="DefaultParagraphFont"/>
    <w:rsid w:val="002D70E1"/>
  </w:style>
  <w:style w:type="character" w:customStyle="1" w:styleId="salnbdy">
    <w:name w:val="s_aln_bdy"/>
    <w:basedOn w:val="DefaultParagraphFont"/>
    <w:rsid w:val="002D70E1"/>
  </w:style>
  <w:style w:type="paragraph" w:customStyle="1" w:styleId="spar">
    <w:name w:val="s_par"/>
    <w:basedOn w:val="Normal"/>
    <w:rsid w:val="002D70E1"/>
    <w:pPr>
      <w:spacing w:before="100" w:beforeAutospacing="1" w:after="100" w:afterAutospacing="1"/>
    </w:pPr>
    <w:rPr>
      <w:lang w:val="ro-RO" w:eastAsia="ro-RO"/>
    </w:rPr>
  </w:style>
  <w:style w:type="paragraph" w:styleId="NormalWeb">
    <w:name w:val="Normal (Web)"/>
    <w:basedOn w:val="Normal"/>
    <w:uiPriority w:val="99"/>
    <w:unhideWhenUsed/>
    <w:rsid w:val="00C75777"/>
    <w:pPr>
      <w:spacing w:before="100" w:beforeAutospacing="1" w:after="100" w:afterAutospacing="1"/>
    </w:pPr>
    <w:rPr>
      <w:lang w:val="ro-RO" w:eastAsia="ro-RO"/>
    </w:rPr>
  </w:style>
  <w:style w:type="table" w:styleId="TableGrid">
    <w:name w:val="Table Grid"/>
    <w:basedOn w:val="TableNormal"/>
    <w:uiPriority w:val="59"/>
    <w:rsid w:val="007A550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10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0C9"/>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541274">
      <w:bodyDiv w:val="1"/>
      <w:marLeft w:val="0"/>
      <w:marRight w:val="0"/>
      <w:marTop w:val="0"/>
      <w:marBottom w:val="0"/>
      <w:divBdr>
        <w:top w:val="none" w:sz="0" w:space="0" w:color="auto"/>
        <w:left w:val="none" w:sz="0" w:space="0" w:color="auto"/>
        <w:bottom w:val="none" w:sz="0" w:space="0" w:color="auto"/>
        <w:right w:val="none" w:sz="0" w:space="0" w:color="auto"/>
      </w:divBdr>
      <w:divsChild>
        <w:div w:id="186063971">
          <w:marLeft w:val="0"/>
          <w:marRight w:val="0"/>
          <w:marTop w:val="0"/>
          <w:marBottom w:val="0"/>
          <w:divBdr>
            <w:top w:val="none" w:sz="0" w:space="0" w:color="auto"/>
            <w:left w:val="none" w:sz="0" w:space="0" w:color="auto"/>
            <w:bottom w:val="none" w:sz="0" w:space="0" w:color="auto"/>
            <w:right w:val="none" w:sz="0" w:space="0" w:color="auto"/>
          </w:divBdr>
          <w:divsChild>
            <w:div w:id="981929838">
              <w:marLeft w:val="0"/>
              <w:marRight w:val="0"/>
              <w:marTop w:val="0"/>
              <w:marBottom w:val="0"/>
              <w:divBdr>
                <w:top w:val="none" w:sz="0" w:space="0" w:color="auto"/>
                <w:left w:val="none" w:sz="0" w:space="0" w:color="auto"/>
                <w:bottom w:val="none" w:sz="0" w:space="0" w:color="auto"/>
                <w:right w:val="none" w:sz="0" w:space="0" w:color="auto"/>
              </w:divBdr>
              <w:divsChild>
                <w:div w:id="51793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77830">
      <w:bodyDiv w:val="1"/>
      <w:marLeft w:val="0"/>
      <w:marRight w:val="0"/>
      <w:marTop w:val="0"/>
      <w:marBottom w:val="0"/>
      <w:divBdr>
        <w:top w:val="none" w:sz="0" w:space="0" w:color="auto"/>
        <w:left w:val="none" w:sz="0" w:space="0" w:color="auto"/>
        <w:bottom w:val="none" w:sz="0" w:space="0" w:color="auto"/>
        <w:right w:val="none" w:sz="0" w:space="0" w:color="auto"/>
      </w:divBdr>
      <w:divsChild>
        <w:div w:id="585650458">
          <w:marLeft w:val="0"/>
          <w:marRight w:val="0"/>
          <w:marTop w:val="0"/>
          <w:marBottom w:val="0"/>
          <w:divBdr>
            <w:top w:val="none" w:sz="0" w:space="0" w:color="auto"/>
            <w:left w:val="none" w:sz="0" w:space="0" w:color="auto"/>
            <w:bottom w:val="none" w:sz="0" w:space="0" w:color="auto"/>
            <w:right w:val="none" w:sz="0" w:space="0" w:color="auto"/>
          </w:divBdr>
          <w:divsChild>
            <w:div w:id="14632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9287">
      <w:bodyDiv w:val="1"/>
      <w:marLeft w:val="0"/>
      <w:marRight w:val="0"/>
      <w:marTop w:val="0"/>
      <w:marBottom w:val="0"/>
      <w:divBdr>
        <w:top w:val="none" w:sz="0" w:space="0" w:color="auto"/>
        <w:left w:val="none" w:sz="0" w:space="0" w:color="auto"/>
        <w:bottom w:val="none" w:sz="0" w:space="0" w:color="auto"/>
        <w:right w:val="none" w:sz="0" w:space="0" w:color="auto"/>
      </w:divBdr>
      <w:divsChild>
        <w:div w:id="1278828601">
          <w:marLeft w:val="0"/>
          <w:marRight w:val="0"/>
          <w:marTop w:val="0"/>
          <w:marBottom w:val="0"/>
          <w:divBdr>
            <w:top w:val="none" w:sz="0" w:space="0" w:color="auto"/>
            <w:left w:val="none" w:sz="0" w:space="0" w:color="auto"/>
            <w:bottom w:val="none" w:sz="0" w:space="0" w:color="auto"/>
            <w:right w:val="none" w:sz="0" w:space="0" w:color="auto"/>
          </w:divBdr>
        </w:div>
      </w:divsChild>
    </w:div>
    <w:div w:id="210465965">
      <w:bodyDiv w:val="1"/>
      <w:marLeft w:val="0"/>
      <w:marRight w:val="0"/>
      <w:marTop w:val="0"/>
      <w:marBottom w:val="0"/>
      <w:divBdr>
        <w:top w:val="none" w:sz="0" w:space="0" w:color="auto"/>
        <w:left w:val="none" w:sz="0" w:space="0" w:color="auto"/>
        <w:bottom w:val="none" w:sz="0" w:space="0" w:color="auto"/>
        <w:right w:val="none" w:sz="0" w:space="0" w:color="auto"/>
      </w:divBdr>
    </w:div>
    <w:div w:id="655570571">
      <w:bodyDiv w:val="1"/>
      <w:marLeft w:val="0"/>
      <w:marRight w:val="0"/>
      <w:marTop w:val="0"/>
      <w:marBottom w:val="0"/>
      <w:divBdr>
        <w:top w:val="none" w:sz="0" w:space="0" w:color="auto"/>
        <w:left w:val="none" w:sz="0" w:space="0" w:color="auto"/>
        <w:bottom w:val="none" w:sz="0" w:space="0" w:color="auto"/>
        <w:right w:val="none" w:sz="0" w:space="0" w:color="auto"/>
      </w:divBdr>
      <w:divsChild>
        <w:div w:id="291447242">
          <w:marLeft w:val="0"/>
          <w:marRight w:val="0"/>
          <w:marTop w:val="300"/>
          <w:marBottom w:val="75"/>
          <w:divBdr>
            <w:top w:val="none" w:sz="0" w:space="0" w:color="auto"/>
            <w:left w:val="none" w:sz="0" w:space="0" w:color="auto"/>
            <w:bottom w:val="none" w:sz="0" w:space="0" w:color="auto"/>
            <w:right w:val="none" w:sz="0" w:space="0" w:color="auto"/>
          </w:divBdr>
        </w:div>
      </w:divsChild>
    </w:div>
    <w:div w:id="1125267982">
      <w:bodyDiv w:val="1"/>
      <w:marLeft w:val="0"/>
      <w:marRight w:val="0"/>
      <w:marTop w:val="0"/>
      <w:marBottom w:val="0"/>
      <w:divBdr>
        <w:top w:val="none" w:sz="0" w:space="0" w:color="auto"/>
        <w:left w:val="none" w:sz="0" w:space="0" w:color="auto"/>
        <w:bottom w:val="none" w:sz="0" w:space="0" w:color="auto"/>
        <w:right w:val="none" w:sz="0" w:space="0" w:color="auto"/>
      </w:divBdr>
    </w:div>
    <w:div w:id="1338652321">
      <w:bodyDiv w:val="1"/>
      <w:marLeft w:val="0"/>
      <w:marRight w:val="0"/>
      <w:marTop w:val="0"/>
      <w:marBottom w:val="0"/>
      <w:divBdr>
        <w:top w:val="none" w:sz="0" w:space="0" w:color="auto"/>
        <w:left w:val="none" w:sz="0" w:space="0" w:color="auto"/>
        <w:bottom w:val="none" w:sz="0" w:space="0" w:color="auto"/>
        <w:right w:val="none" w:sz="0" w:space="0" w:color="auto"/>
      </w:divBdr>
    </w:div>
    <w:div w:id="1631475114">
      <w:bodyDiv w:val="1"/>
      <w:marLeft w:val="0"/>
      <w:marRight w:val="0"/>
      <w:marTop w:val="0"/>
      <w:marBottom w:val="0"/>
      <w:divBdr>
        <w:top w:val="none" w:sz="0" w:space="0" w:color="auto"/>
        <w:left w:val="none" w:sz="0" w:space="0" w:color="auto"/>
        <w:bottom w:val="none" w:sz="0" w:space="0" w:color="auto"/>
        <w:right w:val="none" w:sz="0" w:space="0" w:color="auto"/>
      </w:divBdr>
    </w:div>
    <w:div w:id="1732926412">
      <w:bodyDiv w:val="1"/>
      <w:marLeft w:val="0"/>
      <w:marRight w:val="0"/>
      <w:marTop w:val="0"/>
      <w:marBottom w:val="0"/>
      <w:divBdr>
        <w:top w:val="none" w:sz="0" w:space="0" w:color="auto"/>
        <w:left w:val="none" w:sz="0" w:space="0" w:color="auto"/>
        <w:bottom w:val="none" w:sz="0" w:space="0" w:color="auto"/>
        <w:right w:val="none" w:sz="0" w:space="0" w:color="auto"/>
      </w:divBdr>
      <w:divsChild>
        <w:div w:id="1760633745">
          <w:marLeft w:val="0"/>
          <w:marRight w:val="0"/>
          <w:marTop w:val="300"/>
          <w:marBottom w:val="75"/>
          <w:divBdr>
            <w:top w:val="none" w:sz="0" w:space="0" w:color="auto"/>
            <w:left w:val="none" w:sz="0" w:space="0" w:color="auto"/>
            <w:bottom w:val="none" w:sz="0" w:space="0" w:color="auto"/>
            <w:right w:val="none" w:sz="0" w:space="0" w:color="auto"/>
          </w:divBdr>
        </w:div>
      </w:divsChild>
    </w:div>
    <w:div w:id="1874923621">
      <w:bodyDiv w:val="1"/>
      <w:marLeft w:val="0"/>
      <w:marRight w:val="0"/>
      <w:marTop w:val="0"/>
      <w:marBottom w:val="0"/>
      <w:divBdr>
        <w:top w:val="none" w:sz="0" w:space="0" w:color="auto"/>
        <w:left w:val="none" w:sz="0" w:space="0" w:color="auto"/>
        <w:bottom w:val="none" w:sz="0" w:space="0" w:color="auto"/>
        <w:right w:val="none" w:sz="0" w:space="0" w:color="auto"/>
      </w:divBdr>
      <w:divsChild>
        <w:div w:id="1699550135">
          <w:marLeft w:val="0"/>
          <w:marRight w:val="0"/>
          <w:marTop w:val="0"/>
          <w:marBottom w:val="0"/>
          <w:divBdr>
            <w:top w:val="none" w:sz="0" w:space="0" w:color="auto"/>
            <w:left w:val="none" w:sz="0" w:space="0" w:color="auto"/>
            <w:bottom w:val="none" w:sz="0" w:space="0" w:color="auto"/>
            <w:right w:val="none" w:sz="0" w:space="0" w:color="auto"/>
          </w:divBdr>
          <w:divsChild>
            <w:div w:id="13494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06CA6-4BCF-4F6B-8D0A-FA49C36AF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1575</Words>
  <Characters>8980</Characters>
  <Application>Microsoft Office Word</Application>
  <DocSecurity>0</DocSecurity>
  <Lines>74</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PMT</Company>
  <LinksUpToDate>false</LinksUpToDate>
  <CharactersWithSpaces>10534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ChelbuGoje Patricia</dc:creator>
  <cp:lastModifiedBy>ASeitan</cp:lastModifiedBy>
  <cp:revision>3</cp:revision>
  <cp:lastPrinted>2022-07-28T09:54:00Z</cp:lastPrinted>
  <dcterms:created xsi:type="dcterms:W3CDTF">2022-07-28T09:53:00Z</dcterms:created>
  <dcterms:modified xsi:type="dcterms:W3CDTF">2022-07-28T10:33:00Z</dcterms:modified>
</cp:coreProperties>
</file>