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C0" w:rsidRPr="009A52E1" w:rsidRDefault="005204C0" w:rsidP="009A52E1">
      <w:pPr>
        <w:spacing w:after="240"/>
        <w:jc w:val="both"/>
        <w:rPr>
          <w:rFonts w:asciiTheme="minorHAnsi" w:eastAsia="EB Garamond" w:hAnsiTheme="minorHAnsi" w:cs="EB Garamond"/>
          <w:i/>
          <w:iCs/>
          <w:sz w:val="24"/>
          <w:szCs w:val="24"/>
          <w:lang w:val="ro-RO"/>
        </w:rPr>
      </w:pPr>
      <w:r w:rsidRPr="009A52E1">
        <w:rPr>
          <w:rFonts w:asciiTheme="minorHAnsi" w:eastAsia="EB Garamond" w:hAnsiTheme="minorHAnsi" w:cs="EB Garamond"/>
          <w:i/>
          <w:iCs/>
          <w:sz w:val="24"/>
          <w:szCs w:val="24"/>
        </w:rPr>
        <w:t xml:space="preserve">Nr. </w:t>
      </w:r>
      <w:r w:rsidRPr="009A52E1">
        <w:rPr>
          <w:rFonts w:asciiTheme="minorHAnsi" w:eastAsia="EB Garamond" w:hAnsiTheme="minorHAnsi" w:cs="EB Garamond"/>
          <w:i/>
          <w:iCs/>
          <w:sz w:val="24"/>
          <w:szCs w:val="24"/>
          <w:lang w:val="ro-RO"/>
        </w:rPr>
        <w:t xml:space="preserve">de înregistare: ASEMT2023 - </w:t>
      </w:r>
      <w:r w:rsidR="003E0AD0">
        <w:rPr>
          <w:rFonts w:asciiTheme="minorHAnsi" w:eastAsia="EB Garamond" w:hAnsiTheme="minorHAnsi" w:cs="EB Garamond"/>
          <w:i/>
          <w:iCs/>
          <w:sz w:val="24"/>
          <w:szCs w:val="24"/>
          <w:lang w:val="ro-RO"/>
        </w:rPr>
        <w:t>582</w:t>
      </w:r>
      <w:r w:rsidRPr="009A52E1">
        <w:rPr>
          <w:rFonts w:asciiTheme="minorHAnsi" w:eastAsia="EB Garamond" w:hAnsiTheme="minorHAnsi" w:cs="EB Garamond"/>
          <w:i/>
          <w:iCs/>
          <w:sz w:val="24"/>
          <w:szCs w:val="24"/>
          <w:lang w:val="ro-RO"/>
        </w:rPr>
        <w:t xml:space="preserve"> /</w:t>
      </w:r>
      <w:r w:rsidR="005E5BAE">
        <w:rPr>
          <w:rFonts w:asciiTheme="minorHAnsi" w:eastAsia="EB Garamond" w:hAnsiTheme="minorHAnsi" w:cs="EB Garamond"/>
          <w:i/>
          <w:iCs/>
          <w:sz w:val="24"/>
          <w:szCs w:val="24"/>
          <w:lang w:val="ro-RO"/>
        </w:rPr>
        <w:t>27.03.2023</w:t>
      </w:r>
    </w:p>
    <w:p w:rsidR="00B65C78" w:rsidRDefault="00B65C78" w:rsidP="009A52E1">
      <w:pPr>
        <w:spacing w:after="240"/>
        <w:jc w:val="center"/>
        <w:rPr>
          <w:rFonts w:asciiTheme="minorHAnsi" w:eastAsia="EB Garamond" w:hAnsiTheme="minorHAnsi" w:cs="EB Garamond"/>
          <w:b/>
          <w:bCs/>
          <w:sz w:val="24"/>
          <w:szCs w:val="24"/>
        </w:rPr>
      </w:pPr>
    </w:p>
    <w:p w:rsidR="009A52E1" w:rsidRDefault="009A52E1" w:rsidP="009A52E1">
      <w:pPr>
        <w:spacing w:after="240"/>
        <w:jc w:val="center"/>
        <w:rPr>
          <w:rFonts w:asciiTheme="minorHAnsi" w:eastAsia="EB Garamond" w:hAnsiTheme="minorHAnsi" w:cs="EB Garamond"/>
          <w:b/>
          <w:bCs/>
          <w:sz w:val="24"/>
          <w:szCs w:val="24"/>
        </w:rPr>
      </w:pPr>
    </w:p>
    <w:p w:rsidR="009A52E1" w:rsidRPr="009A52E1" w:rsidRDefault="009A52E1" w:rsidP="009A52E1">
      <w:pPr>
        <w:spacing w:after="240"/>
        <w:jc w:val="center"/>
        <w:rPr>
          <w:rFonts w:asciiTheme="minorHAnsi" w:eastAsia="EB Garamond" w:hAnsiTheme="minorHAnsi" w:cs="EB Garamond"/>
          <w:b/>
          <w:bCs/>
          <w:sz w:val="24"/>
          <w:szCs w:val="24"/>
        </w:rPr>
      </w:pPr>
    </w:p>
    <w:p w:rsidR="009A52E1" w:rsidRPr="009A52E1" w:rsidRDefault="009A52E1" w:rsidP="009A52E1">
      <w:pPr>
        <w:jc w:val="center"/>
        <w:rPr>
          <w:rFonts w:asciiTheme="minorHAnsi" w:hAnsiTheme="minorHAnsi"/>
          <w:b/>
          <w:bCs/>
          <w:sz w:val="24"/>
          <w:szCs w:val="24"/>
        </w:rPr>
      </w:pPr>
      <w:r w:rsidRPr="009A52E1">
        <w:rPr>
          <w:rFonts w:asciiTheme="minorHAnsi" w:hAnsiTheme="minorHAnsi"/>
          <w:b/>
          <w:bCs/>
          <w:sz w:val="24"/>
          <w:szCs w:val="24"/>
        </w:rPr>
        <w:t>RAPORT DE SPECIALITATE</w:t>
      </w:r>
    </w:p>
    <w:p w:rsidR="009A52E1" w:rsidRPr="009A52E1" w:rsidRDefault="009A52E1" w:rsidP="009A52E1">
      <w:pPr>
        <w:jc w:val="center"/>
        <w:rPr>
          <w:rFonts w:asciiTheme="minorHAnsi" w:hAnsiTheme="minorHAnsi"/>
          <w:sz w:val="24"/>
          <w:szCs w:val="24"/>
        </w:rPr>
      </w:pPr>
      <w:r w:rsidRPr="009A52E1">
        <w:rPr>
          <w:rFonts w:asciiTheme="minorHAnsi" w:hAnsiTheme="minorHAnsi"/>
          <w:sz w:val="24"/>
          <w:szCs w:val="24"/>
        </w:rPr>
        <w:t>privind accesarea fondurilor disponibile prin apelul competitiv „Dotarea cu mobilier și echipamente digitale a unităților de învățământ preuniversitar și a unităților conexe” finanțat prin Planul Național de Redresare și Reziliență (PNRR), Pilonul VI. Politici pentru noua generație Componenta C15: Educație</w:t>
      </w:r>
    </w:p>
    <w:p w:rsidR="009A52E1" w:rsidRDefault="009A52E1" w:rsidP="009A52E1">
      <w:pPr>
        <w:jc w:val="both"/>
        <w:rPr>
          <w:rFonts w:asciiTheme="minorHAnsi" w:hAnsiTheme="minorHAnsi"/>
          <w:sz w:val="24"/>
          <w:szCs w:val="24"/>
        </w:rPr>
      </w:pPr>
    </w:p>
    <w:p w:rsidR="009A52E1" w:rsidRPr="009A52E1" w:rsidRDefault="009A52E1" w:rsidP="009A52E1">
      <w:pPr>
        <w:jc w:val="both"/>
        <w:rPr>
          <w:rFonts w:asciiTheme="minorHAnsi" w:hAnsiTheme="minorHAnsi"/>
          <w:sz w:val="24"/>
          <w:szCs w:val="24"/>
        </w:rPr>
      </w:pPr>
    </w:p>
    <w:p w:rsidR="009A52E1" w:rsidRPr="009A52E1" w:rsidRDefault="009A52E1" w:rsidP="009A52E1">
      <w:pPr>
        <w:jc w:val="both"/>
        <w:rPr>
          <w:rFonts w:asciiTheme="minorHAnsi" w:hAnsiTheme="minorHAnsi"/>
          <w:sz w:val="24"/>
          <w:szCs w:val="24"/>
        </w:rPr>
      </w:pPr>
    </w:p>
    <w:p w:rsidR="009A52E1" w:rsidRPr="009A52E1" w:rsidRDefault="009A52E1" w:rsidP="009A52E1">
      <w:pPr>
        <w:ind w:firstLine="720"/>
        <w:jc w:val="both"/>
        <w:rPr>
          <w:rFonts w:asciiTheme="minorHAnsi" w:hAnsiTheme="minorHAnsi"/>
          <w:sz w:val="24"/>
          <w:szCs w:val="24"/>
        </w:rPr>
      </w:pPr>
      <w:r w:rsidRPr="009A52E1">
        <w:rPr>
          <w:rFonts w:asciiTheme="minorHAnsi" w:hAnsiTheme="minorHAnsi"/>
          <w:sz w:val="24"/>
          <w:szCs w:val="24"/>
        </w:rPr>
        <w:t xml:space="preserve">Oportunitatea apelului competitiv „Dotarea cu mobilier și echipamente digitale a unităților de învățământ preuniversitar și a unităților conexe” finanțat prin Planul Național de Redresare și Reziliență (PNRR), Pilonul VI. Politici pentru noua generație Componenta C15: Educație este de interes pentru Municipiul Timișoara, mai ales că vizează linii de investiție diverse și care pot contribui la setarea unui standard de calitate pentru modernizarea spațiilor educaționale din cadrul unităților de învățământ și crearea unui context de învățare optim, adaptat vremurilor actuale. </w:t>
      </w:r>
    </w:p>
    <w:p w:rsidR="009A52E1" w:rsidRPr="009A52E1" w:rsidRDefault="009A52E1" w:rsidP="009A52E1">
      <w:pPr>
        <w:ind w:firstLine="720"/>
        <w:jc w:val="both"/>
        <w:rPr>
          <w:rFonts w:asciiTheme="minorHAnsi" w:hAnsiTheme="minorHAnsi"/>
          <w:color w:val="000000"/>
          <w:sz w:val="24"/>
          <w:szCs w:val="24"/>
        </w:rPr>
      </w:pPr>
      <w:r w:rsidRPr="009A52E1">
        <w:rPr>
          <w:rFonts w:asciiTheme="minorHAnsi" w:hAnsiTheme="minorHAnsi"/>
          <w:color w:val="000000"/>
          <w:sz w:val="24"/>
          <w:szCs w:val="24"/>
        </w:rPr>
        <w:t>Beneficiarii prezentului apel de proiecte sunt toate tipurile de unități administrativ-teritoriale (comune, orașe, municipii, sectoare ale Municipiului București și județe), instituțiile de învățământ superior de stat care au înființate în cadrul lor unități de învățământ preuniversitar, precum și statele majore ale categoriilor de forțe/comandamente de armă, care au înființate în cadrul lor unități de învățământ preuniversitar, cărora le-a fost aprobată cererea de finanțare depusă în cadrul Programului și care au încheiat contract de finanțare cu Ministerul Educației. Beneficiar real al fondurilor - destinatar final al fondurilor, unități de învățământ preuniversitar publice acreditate, precum și unitățile conexe eligibile dotate prin finanțarea accesată de beneficiarul finanțării.</w:t>
      </w:r>
    </w:p>
    <w:p w:rsidR="009A52E1" w:rsidRPr="009A52E1" w:rsidRDefault="009A52E1" w:rsidP="009A52E1">
      <w:pPr>
        <w:jc w:val="both"/>
        <w:rPr>
          <w:rFonts w:asciiTheme="minorHAnsi" w:hAnsiTheme="minorHAnsi"/>
          <w:sz w:val="24"/>
          <w:szCs w:val="24"/>
        </w:rPr>
      </w:pP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Liniile de investiție ale apelului competitiv sunt următoarele:</w:t>
      </w:r>
    </w:p>
    <w:p w:rsidR="009A52E1" w:rsidRPr="009A52E1" w:rsidRDefault="009A52E1" w:rsidP="009A52E1">
      <w:pPr>
        <w:jc w:val="both"/>
        <w:rPr>
          <w:rFonts w:asciiTheme="minorHAnsi" w:hAnsiTheme="minorHAnsi"/>
          <w:sz w:val="24"/>
          <w:szCs w:val="24"/>
        </w:rPr>
      </w:pPr>
    </w:p>
    <w:p w:rsidR="009A52E1" w:rsidRPr="009A52E1" w:rsidRDefault="009A52E1" w:rsidP="009A52E1">
      <w:pPr>
        <w:pStyle w:val="ListParagraph"/>
        <w:numPr>
          <w:ilvl w:val="0"/>
          <w:numId w:val="24"/>
        </w:numPr>
        <w:jc w:val="both"/>
        <w:rPr>
          <w:rFonts w:asciiTheme="minorHAnsi" w:hAnsiTheme="minorHAnsi"/>
          <w:bCs/>
        </w:rPr>
      </w:pPr>
      <w:r w:rsidRPr="009A52E1">
        <w:rPr>
          <w:rFonts w:asciiTheme="minorHAnsi" w:hAnsiTheme="minorHAnsi"/>
          <w:bCs/>
        </w:rPr>
        <w:t>Investiția 11: Mobilier (și materiale didactice în completarea celor existente) pentru dotarea sălilor de clasă /sălilor de grupă din unitățile de învățământ preuniversitar/unitățile conexe, cost unitar maxim eligibil de 4.000 euro</w:t>
      </w:r>
    </w:p>
    <w:p w:rsidR="009A52E1" w:rsidRPr="009A52E1" w:rsidRDefault="009A52E1" w:rsidP="009A52E1">
      <w:pPr>
        <w:pStyle w:val="ListParagraph"/>
        <w:numPr>
          <w:ilvl w:val="0"/>
          <w:numId w:val="24"/>
        </w:numPr>
        <w:jc w:val="both"/>
        <w:rPr>
          <w:rFonts w:asciiTheme="minorHAnsi" w:hAnsiTheme="minorHAnsi"/>
          <w:bCs/>
        </w:rPr>
      </w:pPr>
      <w:r w:rsidRPr="009A52E1">
        <w:rPr>
          <w:rFonts w:asciiTheme="minorHAnsi" w:hAnsiTheme="minorHAnsi"/>
          <w:bCs/>
        </w:rPr>
        <w:lastRenderedPageBreak/>
        <w:t>Investiția 9 - Echipamente TIC pentru organizarea în mediul virtual pentru unități de învățământ preuniversitar, cost unitar maxim eligibil de 4.300 euro</w:t>
      </w:r>
    </w:p>
    <w:p w:rsidR="009A52E1" w:rsidRPr="009A52E1" w:rsidRDefault="009A52E1" w:rsidP="009A52E1">
      <w:pPr>
        <w:pStyle w:val="ListParagraph"/>
        <w:numPr>
          <w:ilvl w:val="0"/>
          <w:numId w:val="24"/>
        </w:numPr>
        <w:jc w:val="both"/>
        <w:rPr>
          <w:rFonts w:asciiTheme="minorHAnsi" w:hAnsiTheme="minorHAnsi"/>
          <w:bCs/>
        </w:rPr>
      </w:pPr>
      <w:r w:rsidRPr="009A52E1">
        <w:rPr>
          <w:rFonts w:asciiTheme="minorHAnsi" w:hAnsiTheme="minorHAnsi"/>
          <w:bCs/>
        </w:rPr>
        <w:t>Investiția 9- Echipamente pentru dotare laboratoare de informatică din unități de învățământ de nivel primar, gimnazial și liceal/unitate conexă, cost unitar maxim eligibil de 18.000 euro</w:t>
      </w:r>
    </w:p>
    <w:p w:rsidR="009A52E1" w:rsidRPr="009A52E1" w:rsidRDefault="009A52E1" w:rsidP="009A52E1">
      <w:pPr>
        <w:pStyle w:val="ListParagraph"/>
        <w:numPr>
          <w:ilvl w:val="0"/>
          <w:numId w:val="24"/>
        </w:numPr>
        <w:jc w:val="both"/>
        <w:rPr>
          <w:rFonts w:asciiTheme="minorHAnsi" w:hAnsiTheme="minorHAnsi"/>
          <w:bCs/>
        </w:rPr>
      </w:pPr>
      <w:r w:rsidRPr="009A52E1">
        <w:rPr>
          <w:rFonts w:asciiTheme="minorHAnsi" w:hAnsiTheme="minorHAnsi"/>
          <w:bCs/>
        </w:rPr>
        <w:t>Investiția 11: LABORATOR ȘTIINȚE (fizică, chimie, biologie/ multidisciplinar)- Mobilier specific și materiale didactice specifice pentru dotare laborator de științe (fizică, chimie, biologie/ multidisciplinar) din unitatea de învățământ preuniversitar, cost unitar maxim eligibil de 24.000 euro /Echipament digital pentru dotarea unui laborator de științe din unitatea de învățământ preuniversitar, cost unitar maxim eligibil de 6.000 euro</w:t>
      </w:r>
    </w:p>
    <w:p w:rsidR="009A52E1" w:rsidRPr="009A52E1" w:rsidRDefault="009A52E1" w:rsidP="009A52E1">
      <w:pPr>
        <w:pStyle w:val="ListParagraph"/>
        <w:numPr>
          <w:ilvl w:val="0"/>
          <w:numId w:val="24"/>
        </w:numPr>
        <w:jc w:val="both"/>
        <w:rPr>
          <w:rFonts w:asciiTheme="minorHAnsi" w:hAnsiTheme="minorHAnsi"/>
          <w:bCs/>
        </w:rPr>
      </w:pPr>
      <w:r w:rsidRPr="009A52E1">
        <w:rPr>
          <w:rFonts w:asciiTheme="minorHAnsi" w:hAnsiTheme="minorHAnsi"/>
          <w:bCs/>
        </w:rPr>
        <w:t>Investiția 11: Cabinete școlare/cabinete de asistență psihopedagogică/ săli de sport: Mobilier specific și material didactice specifice obiecte de inventar), inclusiv echipamente digitale, pentru dotare cabinete școlare (inclusiv cabinete de asistență psihopedagogică), pentru dotarea spațiilor cu echipamente și aparatură sportivă, precum și alte materiale didactice specific desfășurării activităților sportive din sălile de sport, cost unitar maxim eligibil de 10.000 euro</w:t>
      </w:r>
    </w:p>
    <w:p w:rsidR="009A52E1" w:rsidRPr="009A52E1" w:rsidRDefault="009A52E1" w:rsidP="009A52E1">
      <w:pPr>
        <w:pStyle w:val="ListParagraph"/>
        <w:numPr>
          <w:ilvl w:val="0"/>
          <w:numId w:val="24"/>
        </w:numPr>
        <w:jc w:val="both"/>
        <w:rPr>
          <w:rFonts w:asciiTheme="minorHAnsi" w:hAnsiTheme="minorHAnsi"/>
          <w:bCs/>
        </w:rPr>
      </w:pPr>
      <w:r w:rsidRPr="009A52E1">
        <w:rPr>
          <w:rFonts w:asciiTheme="minorHAnsi" w:hAnsiTheme="minorHAnsi"/>
          <w:bCs/>
        </w:rPr>
        <w:t xml:space="preserve">Investiția 14: Materiale și echipamente de specialitate pentru dotarea atelierelor de practică/ unitate de din rețeaua IPT în conformitate cu precizările din Standardele de pregătire profesională în vigoare, asociate calificărilor profesionale școlarizate, cost unitar maxim eligibil de </w:t>
      </w:r>
      <w:r w:rsidRPr="009A52E1">
        <w:rPr>
          <w:rFonts w:asciiTheme="minorHAnsi" w:hAnsiTheme="minorHAnsi"/>
        </w:rPr>
        <w:t>66.997 euro</w:t>
      </w:r>
      <w:r w:rsidRPr="009A52E1">
        <w:rPr>
          <w:rFonts w:asciiTheme="minorHAnsi" w:hAnsiTheme="minorHAnsi"/>
          <w:bCs/>
        </w:rPr>
        <w:t>/ Echipamente digitale pentru dotarea atelierelor de practică, cost unitar maxim eligibil de 33.003 euro</w:t>
      </w:r>
    </w:p>
    <w:p w:rsidR="009A52E1" w:rsidRPr="009A52E1" w:rsidRDefault="009A52E1" w:rsidP="009A52E1">
      <w:pPr>
        <w:jc w:val="both"/>
        <w:rPr>
          <w:rFonts w:asciiTheme="minorHAnsi" w:hAnsiTheme="minorHAnsi"/>
          <w:sz w:val="24"/>
          <w:szCs w:val="24"/>
        </w:rPr>
      </w:pPr>
    </w:p>
    <w:p w:rsidR="009A52E1" w:rsidRDefault="009A52E1" w:rsidP="009A52E1">
      <w:pPr>
        <w:ind w:firstLine="720"/>
        <w:jc w:val="both"/>
        <w:rPr>
          <w:rFonts w:asciiTheme="minorHAnsi" w:hAnsiTheme="minorHAnsi"/>
          <w:sz w:val="24"/>
          <w:szCs w:val="24"/>
        </w:rPr>
      </w:pPr>
      <w:r w:rsidRPr="009A52E1">
        <w:rPr>
          <w:rFonts w:asciiTheme="minorHAnsi" w:hAnsiTheme="minorHAnsi"/>
          <w:sz w:val="24"/>
          <w:szCs w:val="24"/>
        </w:rPr>
        <w:t xml:space="preserve">Pentru a justifica oportunitatea impactului pe care accesarea fondurilor o are pentru unitățile de învățământ din Municipiul Timișoara, vom începe prin a descrie rețeaua școlară cât și nevoile existente la nivelul unităților de învățământ, prin raportare la fiecare linie de investiție existentă în apel. </w:t>
      </w:r>
    </w:p>
    <w:p w:rsidR="009A52E1" w:rsidRPr="009A52E1" w:rsidRDefault="009A52E1" w:rsidP="009A52E1">
      <w:pPr>
        <w:ind w:firstLine="720"/>
        <w:jc w:val="both"/>
        <w:rPr>
          <w:rFonts w:asciiTheme="minorHAnsi" w:hAnsiTheme="minorHAnsi"/>
          <w:sz w:val="24"/>
          <w:szCs w:val="24"/>
        </w:rPr>
      </w:pP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În primul rând, rețeaua școlară a Municipiului Timișoara este formată din 64 persoane juridice cu titlu de unități de învățământ preuniversitar publice acreditate care au arondate 34 unități de învățământ, precum și unități conexe (Palatul copiilor Timișoara și 2 cluburi sportive școlare). Acestea își desfășoară activitatea în 180 corpuri de clădire (corpuri de școală, clase modulare, ateliere, săli de sport etc) în care sunt identificate </w:t>
      </w:r>
      <w:r w:rsidRPr="009A52E1">
        <w:rPr>
          <w:rFonts w:asciiTheme="minorHAnsi" w:hAnsiTheme="minorHAnsi"/>
          <w:b/>
          <w:sz w:val="24"/>
          <w:szCs w:val="24"/>
        </w:rPr>
        <w:t>1606 săli de clasă/grupă</w:t>
      </w:r>
      <w:r w:rsidRPr="009A52E1">
        <w:rPr>
          <w:rFonts w:asciiTheme="minorHAnsi" w:hAnsiTheme="minorHAnsi"/>
          <w:sz w:val="24"/>
          <w:szCs w:val="24"/>
        </w:rPr>
        <w:t xml:space="preserve">. În anul școlar 2022-2023 sunt înmatriculați 43.681 de elevi în unitățile de învățământ din Municipiul Timișoara. Menționăm că Municipiul Timișoara, în calitate de centru urban, concentrează aproape toate liceele și școlile profesionale din aria metropolitană (Zona Metropolitană Timișoara-ZMT). Acesta școlarizează cu aproximativ 25% mai mulți elevi decât totalul populației de vârstă școlară din oraș. Unul din cinci elevi din școlile liceele din Timișoara, face naveta. </w:t>
      </w:r>
    </w:p>
    <w:p w:rsidR="009A52E1" w:rsidRDefault="009A52E1" w:rsidP="009A52E1">
      <w:pPr>
        <w:jc w:val="both"/>
        <w:rPr>
          <w:rFonts w:asciiTheme="minorHAnsi" w:hAnsiTheme="minorHAnsi"/>
          <w:sz w:val="24"/>
          <w:szCs w:val="24"/>
        </w:rPr>
      </w:pP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 Defalcat pe cicluri de învățământ, rețeaua școlară este compusă din:</w:t>
      </w:r>
    </w:p>
    <w:p w:rsidR="009A52E1" w:rsidRPr="009A52E1" w:rsidRDefault="009A52E1" w:rsidP="009A52E1">
      <w:pPr>
        <w:pStyle w:val="ListParagraph"/>
        <w:numPr>
          <w:ilvl w:val="0"/>
          <w:numId w:val="25"/>
        </w:numPr>
        <w:jc w:val="both"/>
        <w:rPr>
          <w:rFonts w:asciiTheme="minorHAnsi" w:hAnsiTheme="minorHAnsi"/>
          <w:b/>
        </w:rPr>
      </w:pPr>
      <w:r w:rsidRPr="009A52E1">
        <w:rPr>
          <w:rFonts w:asciiTheme="minorHAnsi" w:hAnsiTheme="minorHAnsi"/>
          <w:b/>
        </w:rPr>
        <w:lastRenderedPageBreak/>
        <w:t>14 grădinițe - 6.873 elevi preșcolari (care își desfășoară activitatea în 301 săli de grupă/clasă)</w:t>
      </w:r>
    </w:p>
    <w:p w:rsidR="009A52E1" w:rsidRPr="009A52E1" w:rsidRDefault="009A52E1" w:rsidP="009A52E1">
      <w:pPr>
        <w:pStyle w:val="ListParagraph"/>
        <w:numPr>
          <w:ilvl w:val="0"/>
          <w:numId w:val="25"/>
        </w:numPr>
        <w:jc w:val="both"/>
        <w:rPr>
          <w:rFonts w:asciiTheme="minorHAnsi" w:hAnsiTheme="minorHAnsi"/>
          <w:b/>
        </w:rPr>
      </w:pPr>
      <w:r w:rsidRPr="009A52E1">
        <w:rPr>
          <w:rFonts w:asciiTheme="minorHAnsi" w:hAnsiTheme="minorHAnsi"/>
          <w:b/>
        </w:rPr>
        <w:t>17 școli gimnaziale - 23.823 elevi primar-gimnaziu (care își desfășoară activitatea în 870 săli de clasă)</w:t>
      </w:r>
    </w:p>
    <w:p w:rsidR="009A52E1" w:rsidRPr="009A52E1" w:rsidRDefault="009A52E1" w:rsidP="009A52E1">
      <w:pPr>
        <w:pStyle w:val="ListParagraph"/>
        <w:numPr>
          <w:ilvl w:val="0"/>
          <w:numId w:val="25"/>
        </w:numPr>
        <w:jc w:val="both"/>
        <w:rPr>
          <w:rFonts w:asciiTheme="minorHAnsi" w:hAnsiTheme="minorHAnsi"/>
          <w:b/>
        </w:rPr>
      </w:pPr>
      <w:r w:rsidRPr="009A52E1">
        <w:rPr>
          <w:rFonts w:asciiTheme="minorHAnsi" w:hAnsiTheme="minorHAnsi"/>
          <w:b/>
        </w:rPr>
        <w:t>30 licee - 12.985 elevi (care își desfășoară activitatea în 435 săli de clasă)</w:t>
      </w:r>
      <w:r>
        <w:rPr>
          <w:rFonts w:asciiTheme="minorHAnsi" w:hAnsiTheme="minorHAnsi"/>
          <w:b/>
          <w:lang w:val="en-US"/>
        </w:rPr>
        <w:t>;</w:t>
      </w:r>
      <w:r w:rsidRPr="009A52E1">
        <w:rPr>
          <w:rFonts w:asciiTheme="minorHAnsi" w:hAnsiTheme="minorHAnsi"/>
          <w:b/>
        </w:rPr>
        <w:t xml:space="preserve"> 13 licee fac parte din rețeaua unităților de învățământ profesional și tehnic (ÎPT). Dintre cele 30 de licee, 17 unități de învățământ au și ciclul primar și  ciclul gimnazial.</w:t>
      </w: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Acestora li se adaugă următoarele unități conexe:</w:t>
      </w:r>
    </w:p>
    <w:p w:rsidR="009A52E1" w:rsidRPr="009A52E1" w:rsidRDefault="009A52E1" w:rsidP="009A52E1">
      <w:pPr>
        <w:pStyle w:val="ListParagraph"/>
        <w:numPr>
          <w:ilvl w:val="0"/>
          <w:numId w:val="26"/>
        </w:numPr>
        <w:jc w:val="both"/>
        <w:rPr>
          <w:rFonts w:asciiTheme="minorHAnsi" w:hAnsiTheme="minorHAnsi"/>
          <w:b/>
        </w:rPr>
      </w:pPr>
      <w:r w:rsidRPr="009A52E1">
        <w:rPr>
          <w:rFonts w:asciiTheme="minorHAnsi" w:hAnsiTheme="minorHAnsi"/>
          <w:b/>
        </w:rPr>
        <w:t>Clubul Sportiv Școlar nr 1- 558 elevi sportivi</w:t>
      </w:r>
    </w:p>
    <w:p w:rsidR="009A52E1" w:rsidRPr="009A52E1" w:rsidRDefault="009A52E1" w:rsidP="009A52E1">
      <w:pPr>
        <w:pStyle w:val="ListParagraph"/>
        <w:numPr>
          <w:ilvl w:val="0"/>
          <w:numId w:val="26"/>
        </w:numPr>
        <w:jc w:val="both"/>
        <w:rPr>
          <w:rFonts w:asciiTheme="minorHAnsi" w:hAnsiTheme="minorHAnsi"/>
          <w:b/>
        </w:rPr>
      </w:pPr>
      <w:r w:rsidRPr="009A52E1">
        <w:rPr>
          <w:rFonts w:asciiTheme="minorHAnsi" w:hAnsiTheme="minorHAnsi"/>
          <w:b/>
        </w:rPr>
        <w:t>Clubul Sportiv Școlar Bega - 709 elevi  sportivi</w:t>
      </w:r>
    </w:p>
    <w:p w:rsidR="009A52E1" w:rsidRDefault="009A52E1" w:rsidP="009A52E1">
      <w:pPr>
        <w:pStyle w:val="ListParagraph"/>
        <w:numPr>
          <w:ilvl w:val="0"/>
          <w:numId w:val="26"/>
        </w:numPr>
        <w:jc w:val="both"/>
        <w:rPr>
          <w:rFonts w:asciiTheme="minorHAnsi" w:hAnsiTheme="minorHAnsi"/>
          <w:b/>
        </w:rPr>
      </w:pPr>
      <w:r w:rsidRPr="009A52E1">
        <w:rPr>
          <w:rFonts w:asciiTheme="minorHAnsi" w:hAnsiTheme="minorHAnsi"/>
          <w:b/>
        </w:rPr>
        <w:t>Palatul Copiilor Timișoara – 5.322 de elevi</w:t>
      </w:r>
    </w:p>
    <w:p w:rsidR="009A52E1" w:rsidRPr="009A52E1" w:rsidRDefault="009A52E1" w:rsidP="009A52E1">
      <w:pPr>
        <w:pStyle w:val="ListParagraph"/>
        <w:jc w:val="both"/>
        <w:rPr>
          <w:rFonts w:asciiTheme="minorHAnsi" w:hAnsiTheme="minorHAnsi"/>
          <w:b/>
        </w:rPr>
      </w:pP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În urma discuțiilor purtate cu reprezentanții unităților de învățământ, un număr de 63 de unități de învățământ publice cu personalitate juridică (unitatea de învățământ cu profil agricol nefiind eligibilă) și cele 3 unități conexe au răspuns pozitiv, ca beneficiari finali pentru acest apel</w:t>
      </w:r>
      <w:r>
        <w:rPr>
          <w:rFonts w:asciiTheme="minorHAnsi" w:hAnsiTheme="minorHAnsi"/>
          <w:sz w:val="24"/>
          <w:szCs w:val="24"/>
        </w:rPr>
        <w:t>.</w:t>
      </w:r>
      <w:r w:rsidRPr="009A52E1">
        <w:rPr>
          <w:rFonts w:asciiTheme="minorHAnsi" w:hAnsiTheme="minorHAnsi"/>
          <w:sz w:val="24"/>
          <w:szCs w:val="24"/>
        </w:rPr>
        <w:t xml:space="preserve"> De asemenea, în urma colectării nevoilor de la reprezentanții unităților de învățământ, s-a constat că nevoia de dotare cuprinde aproximativ 80% din totalul de spații destinate învățării la nivelul rețelei școlare. Restul de 20% a fost dotat din alte fonduri publice sau private și nu se încadrează în limita evitării dublei finanțări conform ghidului apelului menționat.</w:t>
      </w:r>
    </w:p>
    <w:p w:rsidR="009A52E1" w:rsidRDefault="009A52E1" w:rsidP="009A52E1">
      <w:pPr>
        <w:jc w:val="both"/>
        <w:rPr>
          <w:rFonts w:asciiTheme="minorHAnsi" w:hAnsiTheme="minorHAnsi"/>
          <w:sz w:val="24"/>
          <w:szCs w:val="24"/>
        </w:rPr>
      </w:pP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În al doilea rând și având în vedere faptul că fiecare linie de investiție cuprinde componente diferite de dotare, vom argumenta contextul actual pe care îl adresează acestea: </w:t>
      </w:r>
    </w:p>
    <w:p w:rsidR="009A52E1" w:rsidRPr="009A52E1" w:rsidRDefault="009A52E1" w:rsidP="009A52E1">
      <w:pPr>
        <w:pStyle w:val="ListParagraph"/>
        <w:numPr>
          <w:ilvl w:val="0"/>
          <w:numId w:val="27"/>
        </w:numPr>
        <w:jc w:val="both"/>
        <w:rPr>
          <w:rStyle w:val="IntenseEmphasis"/>
          <w:rFonts w:asciiTheme="minorHAnsi" w:hAnsiTheme="minorHAnsi"/>
        </w:rPr>
      </w:pPr>
      <w:r w:rsidRPr="009A52E1">
        <w:rPr>
          <w:rStyle w:val="IntenseEmphasis"/>
          <w:rFonts w:asciiTheme="minorHAnsi" w:hAnsiTheme="minorHAnsi"/>
        </w:rPr>
        <w:t>Investiția 11: Mobilier (și materiale didactice în completarea celor existente) pentru dotarea sălilor de clasă /sălilor de grupă din unitățile de învățământ preuniversitar/unitățile conexe.</w:t>
      </w: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O caracteristică generală, ”istorică”, a mobilierului sălilor de clasă din majoritatea unităților de învățământ este aceea că acesta nu este adaptat standardelor ergonomice conforme cu nevoile de creștere și de mobilitate ale elevilor. Un alt aspect vizează uzura fizică și morală a mobilierului care creează un alt neajuns identificat în felul în care este utilizat spațiul sălilor de clasă (o problemă per se a multor unități de învățământ din Timișoara pe care o vom detalia în cele ce urmează). Caracteristicile referitoare la dimensiunile și ergonomia ansamblelor tradiționale compuse din bănci și scaune indică faptul că aceste modele mai vechi nu optimizează folosirea eficientă a ariei unei sălii de clasă și predispun la aglomerare și rigiditate.</w:t>
      </w: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Un indicator cheie al capacității unei școli de a găzdui elevi este aria utilă medie a sălilor de clasă. Un alt indicator, poate chiar mai relevant, de vreme ce este mai cuprinzător, este aria medie construită a sălilor de clase cuprinzând și o cotă parte, proporțională, din restul funcțiilor din școală (pe scurt aria construită cu cotă parte). Cei doi indicatori de </w:t>
      </w:r>
      <w:r w:rsidRPr="009A52E1">
        <w:rPr>
          <w:rFonts w:asciiTheme="minorHAnsi" w:hAnsiTheme="minorHAnsi"/>
          <w:sz w:val="24"/>
          <w:szCs w:val="24"/>
        </w:rPr>
        <w:lastRenderedPageBreak/>
        <w:t xml:space="preserve">suprafață medie sunt reglementați prin actul normativ NP010-97 342/1996, referitor la școli și licee, și NP011-97 343/1996, referitor la grădinițe. Folosind acești indicatori, </w:t>
      </w:r>
      <w:r w:rsidRPr="009A52E1">
        <w:rPr>
          <w:rFonts w:asciiTheme="minorHAnsi" w:hAnsiTheme="minorHAnsi"/>
          <w:b/>
          <w:sz w:val="24"/>
          <w:szCs w:val="24"/>
        </w:rPr>
        <w:t>Municipiul Timișoara, are unități de învățământ subdimensionate</w:t>
      </w:r>
      <w:r w:rsidRPr="009A52E1">
        <w:rPr>
          <w:rFonts w:asciiTheme="minorHAnsi" w:hAnsiTheme="minorHAnsi"/>
          <w:sz w:val="24"/>
          <w:szCs w:val="24"/>
        </w:rPr>
        <w:t>. Infrastructura școlară din Municipiul Timișoara este formată din clădiri istorice de patrimoniu construite la final de  secol XIX și început de secol XX, cît și din clădiri edificate în perioada regimului comunist.  33 din unitățile de învățământ au fost construite înainte de 1920,  iar până în 1960 au fost ridicate în total 65 de școli/licee. Ariile medii construite ale sălilor de clasă (cu cotă parte din funcții) sunt adesea sub 100 m</w:t>
      </w:r>
      <w:r w:rsidRPr="009A52E1">
        <w:rPr>
          <w:rFonts w:asciiTheme="minorHAnsi" w:hAnsiTheme="minorHAnsi"/>
          <w:sz w:val="24"/>
          <w:szCs w:val="24"/>
          <w:vertAlign w:val="superscript"/>
        </w:rPr>
        <w:t>2</w:t>
      </w:r>
      <w:r w:rsidRPr="009A52E1">
        <w:rPr>
          <w:rFonts w:asciiTheme="minorHAnsi" w:hAnsiTheme="minorHAnsi"/>
          <w:sz w:val="24"/>
          <w:szCs w:val="24"/>
        </w:rPr>
        <w:t xml:space="preserve"> sau, ca regulă generală, sub 150 m</w:t>
      </w:r>
      <w:r w:rsidRPr="009A52E1">
        <w:rPr>
          <w:rFonts w:asciiTheme="minorHAnsi" w:hAnsiTheme="minorHAnsi"/>
          <w:sz w:val="24"/>
          <w:szCs w:val="24"/>
          <w:vertAlign w:val="superscript"/>
        </w:rPr>
        <w:t>2</w:t>
      </w:r>
      <w:r w:rsidRPr="009A52E1">
        <w:rPr>
          <w:rFonts w:asciiTheme="minorHAnsi" w:hAnsiTheme="minorHAnsi"/>
          <w:sz w:val="24"/>
          <w:szCs w:val="24"/>
        </w:rPr>
        <w:t>.  Clădirile acestor școli au fost pentru epoca lor, cel mai adesea, foarte generoase ca spații educaționale însă, prin schimbarea efectivelor școlare și generalizarea învățământului obligatoriu, au devenit prea puțin încăpătoare.</w:t>
      </w:r>
    </w:p>
    <w:p w:rsidR="009A52E1" w:rsidRDefault="009A52E1" w:rsidP="009A52E1">
      <w:pPr>
        <w:jc w:val="both"/>
        <w:rPr>
          <w:rFonts w:asciiTheme="minorHAnsi" w:hAnsiTheme="minorHAnsi"/>
          <w:sz w:val="24"/>
          <w:szCs w:val="24"/>
        </w:rPr>
      </w:pPr>
      <w:r w:rsidRPr="009A52E1">
        <w:rPr>
          <w:rFonts w:asciiTheme="minorHAnsi" w:hAnsiTheme="minorHAnsi"/>
          <w:sz w:val="24"/>
          <w:szCs w:val="24"/>
        </w:rPr>
        <w:t>Între anii 1970-2010 au fost construite 49 de unități de învățământ (27 edificate în 1970) care, conform normativelor perioadei ariile construite ale sălilor de clasă  au crescut la valori medii între 150-200 mp. Faptic, putem concluziona că una dintre dificultățile cu care se confruntă unitățile de învățământ din Timișoara este inadecvarea mărimii sălilor de clase, dacă comparăm spațiul existent cu așteptările normative.</w:t>
      </w:r>
    </w:p>
    <w:p w:rsidR="009A52E1" w:rsidRPr="009A52E1" w:rsidRDefault="009A52E1" w:rsidP="009A52E1">
      <w:pPr>
        <w:jc w:val="both"/>
        <w:rPr>
          <w:rFonts w:asciiTheme="minorHAnsi" w:hAnsiTheme="minorHAnsi"/>
          <w:sz w:val="24"/>
          <w:szCs w:val="24"/>
        </w:rPr>
      </w:pPr>
    </w:p>
    <w:p w:rsidR="009A52E1" w:rsidRPr="009A52E1" w:rsidRDefault="009A52E1" w:rsidP="009A52E1">
      <w:pPr>
        <w:pStyle w:val="ListParagraph"/>
        <w:numPr>
          <w:ilvl w:val="0"/>
          <w:numId w:val="27"/>
        </w:numPr>
        <w:jc w:val="both"/>
        <w:rPr>
          <w:rStyle w:val="IntenseEmphasis"/>
          <w:rFonts w:asciiTheme="minorHAnsi" w:hAnsiTheme="minorHAnsi"/>
          <w:i w:val="0"/>
          <w:iCs w:val="0"/>
        </w:rPr>
      </w:pPr>
      <w:r w:rsidRPr="009A52E1">
        <w:rPr>
          <w:rStyle w:val="IntenseEmphasis"/>
          <w:rFonts w:asciiTheme="minorHAnsi" w:hAnsiTheme="minorHAnsi"/>
        </w:rPr>
        <w:t>Investiția 9 - Echipamente TIC pentru organizarea în mediul virtuala sălilor de clasă pentru unități de învățământ preuniversitar</w:t>
      </w: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Dotarea cu echipamente TIC pentru organizarea în mediul virtual a unităților de învățământ din Municipiul Timișoara este caracterizată în primul rând de disparitatea în gradul de dotare a unităților școlare. Gradul de dotare variază pe mai multe paliere de la necesarul TIC care deservește numărul de elevi din populația școlară a unei unități de învățământ până la gradul de uzură și vechimea echipamentelor. Cauzele disparității sunt mai multe și sunt în anumite situații rezultatul acumulărilor generaționale, însă cea mai importantă este aceea care face referire la felul în care sunt/au fost accesate și utilizate resursele necesare.  </w:t>
      </w:r>
    </w:p>
    <w:p w:rsid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Având în vedere faptul că prin bugetul local suma alocată pentru finanțarea învățământului vizează toate aspectele care țin de funcționarea optimă a unităților școlare (de la plata utilităților, cheltuieli curente, reparații până la investiții mari de infrastructură) este improbabil ca aceasta să fie suficientă pentru o intervenție punctuală, reformatoare în privința echipamentelor TIC din toate unitățile de învățământ. La fel și accesarea de până acum a fondurilor europene prin proiecte ( PNRAS, ROSE) care să  finanțeze această nevoie a  avut un impact mai degrabă nișat în funcție de grupurile țintă vizate și obiectivele asumate (reducerea abandonului școlar în învățământul secundar și terțiar, creșterea ratei de promovare a examenului de bacalaureat).  În privința resurselor independente care au sprijinit eforturile de dotare ale unor unități de învățământ din Timișoara, prin sponsorizări și donații în natură, putem spune că felul în care acestea aleg să aloce fondurile este de cele mai multe ori </w:t>
      </w:r>
      <w:r w:rsidRPr="009A52E1">
        <w:rPr>
          <w:rFonts w:asciiTheme="minorHAnsi" w:hAnsiTheme="minorHAnsi"/>
          <w:sz w:val="24"/>
          <w:szCs w:val="24"/>
        </w:rPr>
        <w:lastRenderedPageBreak/>
        <w:t>influențat de prestigiul școlilor sau de interacțiunea cu asociațiile de părinți active și foarte bine conectate la mediul de afaceri din Timișoara.</w:t>
      </w:r>
    </w:p>
    <w:p w:rsidR="009A52E1" w:rsidRPr="009A52E1" w:rsidRDefault="009A52E1" w:rsidP="009A52E1">
      <w:pPr>
        <w:jc w:val="both"/>
        <w:rPr>
          <w:rFonts w:asciiTheme="minorHAnsi" w:hAnsiTheme="minorHAnsi"/>
          <w:sz w:val="24"/>
          <w:szCs w:val="24"/>
        </w:rPr>
      </w:pPr>
    </w:p>
    <w:p w:rsidR="009A52E1" w:rsidRPr="009A52E1" w:rsidRDefault="009A52E1" w:rsidP="009A52E1">
      <w:pPr>
        <w:pStyle w:val="ListParagraph"/>
        <w:numPr>
          <w:ilvl w:val="0"/>
          <w:numId w:val="27"/>
        </w:numPr>
        <w:jc w:val="both"/>
        <w:rPr>
          <w:rStyle w:val="IntenseEmphasis"/>
          <w:rFonts w:asciiTheme="minorHAnsi" w:hAnsiTheme="minorHAnsi"/>
        </w:rPr>
      </w:pPr>
      <w:r w:rsidRPr="009A52E1">
        <w:rPr>
          <w:rStyle w:val="IntenseEmphasis"/>
          <w:rFonts w:asciiTheme="minorHAnsi" w:hAnsiTheme="minorHAnsi"/>
        </w:rPr>
        <w:t>Investiția 9- Echipamente pentru dotare laboratoare de informatică din unități de învățământ de nivel primar, gimnazial și liceal/unitate conexă</w:t>
      </w:r>
    </w:p>
    <w:p w:rsidR="009A52E1" w:rsidRDefault="009A52E1" w:rsidP="009A52E1">
      <w:pPr>
        <w:jc w:val="both"/>
        <w:rPr>
          <w:rFonts w:asciiTheme="minorHAnsi" w:hAnsiTheme="minorHAnsi"/>
          <w:sz w:val="24"/>
          <w:szCs w:val="24"/>
        </w:rPr>
      </w:pPr>
      <w:r w:rsidRPr="009A52E1">
        <w:rPr>
          <w:rFonts w:asciiTheme="minorHAnsi" w:hAnsiTheme="minorHAnsi"/>
          <w:sz w:val="24"/>
          <w:szCs w:val="24"/>
        </w:rPr>
        <w:t>La ora actuală, la nivelul unităților de învățământ din Timișoara, există 76 de laboratoare de informatică, însă gradul de dotare cu echipamente a acestora este caracterizat, la fel ca în cazul echipamentelor TIC, de diferențe între unitățile școlare referitoare la nivelul performanței echipamentelor pe care studiază elevii. În multe dintre cazuri echipamentul pe care-l dețin școlile este învechit, iar programele de operare/ softurile specifice sunt depășite, ele nemaiconstituind platforme performante de învățare, în acord cu cerințele unui domeniu foarte atractiv pentru piața muncii din România și Uniunea Europeană.</w:t>
      </w:r>
    </w:p>
    <w:p w:rsidR="009A52E1" w:rsidRPr="009A52E1" w:rsidRDefault="009A52E1" w:rsidP="009A52E1">
      <w:pPr>
        <w:jc w:val="both"/>
        <w:rPr>
          <w:rFonts w:asciiTheme="minorHAnsi" w:hAnsiTheme="minorHAnsi"/>
          <w:sz w:val="24"/>
          <w:szCs w:val="24"/>
        </w:rPr>
      </w:pPr>
    </w:p>
    <w:p w:rsidR="009A52E1" w:rsidRPr="009A52E1" w:rsidRDefault="009A52E1" w:rsidP="009A52E1">
      <w:pPr>
        <w:pStyle w:val="ListParagraph"/>
        <w:numPr>
          <w:ilvl w:val="0"/>
          <w:numId w:val="27"/>
        </w:numPr>
        <w:jc w:val="both"/>
        <w:rPr>
          <w:rStyle w:val="IntenseEmphasis"/>
          <w:rFonts w:asciiTheme="minorHAnsi" w:hAnsiTheme="minorHAnsi"/>
        </w:rPr>
      </w:pPr>
      <w:r w:rsidRPr="009A52E1">
        <w:rPr>
          <w:rStyle w:val="IntenseEmphasis"/>
          <w:rFonts w:asciiTheme="minorHAnsi" w:hAnsiTheme="minorHAnsi"/>
        </w:rPr>
        <w:t>Investiția 11: LABORATOR ȘTIINȚE (fizică, chimie, biologie/ multidisciplinar)- Mobilier specific și materiale didactice specifice pentru dotare laborator de științe (fizică, chimie, biologie/ multidisciplinar) din unitatea de învățământ preuniversitar -Echipament digital pentru dotarea unui laborator de științe din unitatea de învățământ preuniversitar</w:t>
      </w:r>
    </w:p>
    <w:p w:rsid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La ora actuală la nivelul unităților de învățământ din Timișoara există 83 de </w:t>
      </w:r>
      <w:r w:rsidRPr="009A52E1">
        <w:rPr>
          <w:rFonts w:asciiTheme="minorHAnsi" w:hAnsiTheme="minorHAnsi"/>
          <w:b/>
          <w:sz w:val="24"/>
          <w:szCs w:val="24"/>
        </w:rPr>
        <w:t>laboratoare de științe,</w:t>
      </w:r>
      <w:r w:rsidRPr="009A52E1">
        <w:rPr>
          <w:rFonts w:asciiTheme="minorHAnsi" w:hAnsiTheme="minorHAnsi"/>
          <w:sz w:val="24"/>
          <w:szCs w:val="24"/>
        </w:rPr>
        <w:t xml:space="preserve"> însă, sub presiunea numărului de elevi în creștere, în mod particular începând cu 2011, o parte din laboratoarele de științe au început să fie folosite pentru desfășurarea activităților didactice generale după reamenajarea lor în săli de clasă.</w:t>
      </w:r>
      <w:r w:rsidR="008443FB">
        <w:rPr>
          <w:rFonts w:asciiTheme="minorHAnsi" w:hAnsiTheme="minorHAnsi"/>
          <w:sz w:val="24"/>
          <w:szCs w:val="24"/>
        </w:rPr>
        <w:t xml:space="preserve"> Este important ca aceste laboratoare să fie utilizate conform destinației, iar acest lucru se poate restabili în măsura în care dotarea spațiului este de așa natură cât să stimuleze activitatea didactică conformă.</w:t>
      </w:r>
    </w:p>
    <w:p w:rsidR="009A52E1" w:rsidRPr="009A52E1" w:rsidRDefault="009A52E1" w:rsidP="009A52E1">
      <w:pPr>
        <w:jc w:val="both"/>
        <w:rPr>
          <w:rFonts w:asciiTheme="minorHAnsi" w:hAnsiTheme="minorHAnsi"/>
          <w:sz w:val="24"/>
          <w:szCs w:val="24"/>
        </w:rPr>
      </w:pPr>
    </w:p>
    <w:p w:rsidR="009A52E1" w:rsidRPr="009A52E1" w:rsidRDefault="009A52E1" w:rsidP="009A52E1">
      <w:pPr>
        <w:pStyle w:val="ListParagraph"/>
        <w:numPr>
          <w:ilvl w:val="0"/>
          <w:numId w:val="27"/>
        </w:numPr>
        <w:jc w:val="both"/>
        <w:rPr>
          <w:rStyle w:val="IntenseEmphasis"/>
          <w:rFonts w:asciiTheme="minorHAnsi" w:hAnsiTheme="minorHAnsi"/>
        </w:rPr>
      </w:pPr>
      <w:r w:rsidRPr="009A52E1">
        <w:rPr>
          <w:rStyle w:val="IntenseEmphasis"/>
          <w:rFonts w:asciiTheme="minorHAnsi" w:hAnsiTheme="minorHAnsi"/>
        </w:rPr>
        <w:t>Investiția 11: Cabinete școlare/cabinete de asistență psihopedagogică/ săli de sport: Mobilier specific și material didactice specifice obiecte de inventar), inclusiv echipamente digitale, pentru dotare cabinete școlare (inclusiv cabinete de asistență psihopedagogică), pentru dotarea spațiilor cu echipamente și aparatură sportivă, precum și alte materiale didactice specific desfășurării activităților sportive din sălile de sport.</w:t>
      </w:r>
    </w:p>
    <w:p w:rsid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La nivelul unităților de învățământ preuniversitar din Municipiului Timișoara doar 13 unități școlare din 94  din oraș au săli de sport, corpuri cu sală de sport sau clădiri dedicate sălilor de sport. Șapte dintre acestea sunt ale liceelor tehnologice sau ale Liceului cu Program Sportiv „Banatul”, fiind așadar o prerogativa a școlilor construite în anii 1970. Majoritatea  </w:t>
      </w:r>
      <w:r w:rsidRPr="009A52E1">
        <w:rPr>
          <w:rFonts w:asciiTheme="minorHAnsi" w:hAnsiTheme="minorHAnsi"/>
          <w:b/>
          <w:sz w:val="24"/>
          <w:szCs w:val="24"/>
        </w:rPr>
        <w:t>t</w:t>
      </w:r>
      <w:r w:rsidRPr="009A52E1">
        <w:rPr>
          <w:rFonts w:asciiTheme="minorHAnsi" w:hAnsiTheme="minorHAnsi"/>
          <w:sz w:val="24"/>
          <w:szCs w:val="24"/>
        </w:rPr>
        <w:t xml:space="preserve">erenurilor de sport ale unităților de învățământ din Municipiul  Timișoara, aflate în exterior, au nevoie de investiții pentru refacere sau reparații. Lipsă de dotărilor pe acest segment educativ este indiscutabil problematică și constituie o </w:t>
      </w:r>
      <w:r w:rsidRPr="009A52E1">
        <w:rPr>
          <w:rFonts w:asciiTheme="minorHAnsi" w:hAnsiTheme="minorHAnsi"/>
          <w:sz w:val="24"/>
          <w:szCs w:val="24"/>
        </w:rPr>
        <w:lastRenderedPageBreak/>
        <w:t>provocare foarte mare pentru unitățile de învățământ și actuala administrație care sunt preocupate de identificarea soluțiilor optime pentru surmontarea ei.</w:t>
      </w:r>
    </w:p>
    <w:p w:rsidR="009A52E1" w:rsidRPr="009A52E1" w:rsidRDefault="009A52E1" w:rsidP="009A52E1">
      <w:pPr>
        <w:pStyle w:val="ListParagraph"/>
        <w:numPr>
          <w:ilvl w:val="0"/>
          <w:numId w:val="27"/>
        </w:numPr>
        <w:jc w:val="both"/>
        <w:rPr>
          <w:rStyle w:val="IntenseEmphasis"/>
          <w:rFonts w:asciiTheme="minorHAnsi" w:hAnsiTheme="minorHAnsi"/>
        </w:rPr>
      </w:pPr>
      <w:r w:rsidRPr="009A52E1">
        <w:rPr>
          <w:rStyle w:val="IntenseEmphasis"/>
          <w:rFonts w:asciiTheme="minorHAnsi" w:hAnsiTheme="minorHAnsi"/>
        </w:rPr>
        <w:t>Investiția 14: Materiale și echipamente de specialitate pentru dotarea atelierelor de practică/ unitate de din rețeaua IPT în conformitate cu precizările din Standardele de pregătire profesională în vigoare, asociate calificărilor profesionale școlarizate/Echipamente digitale pentru dotarea atelierelor de practică</w:t>
      </w:r>
    </w:p>
    <w:p w:rsidR="009A52E1" w:rsidRPr="009A52E1" w:rsidRDefault="009A52E1" w:rsidP="009A52E1">
      <w:pPr>
        <w:jc w:val="both"/>
        <w:rPr>
          <w:rStyle w:val="IntenseEmphasis"/>
          <w:rFonts w:asciiTheme="minorHAnsi" w:hAnsiTheme="minorHAnsi"/>
          <w:sz w:val="24"/>
          <w:szCs w:val="24"/>
        </w:rPr>
      </w:pPr>
      <w:r w:rsidRPr="009A52E1">
        <w:rPr>
          <w:rFonts w:asciiTheme="minorHAnsi" w:hAnsiTheme="minorHAnsi"/>
          <w:sz w:val="24"/>
          <w:szCs w:val="24"/>
        </w:rPr>
        <w:t>Învățământul profesional și tehnic ocupă o poziție distinctivă în cadrul sistemului de învățământ liceal din Timișoara. În anul 2021-2022, numărul total de elevi înscriși în învățământul liceal din această localitate a fost de 13.142. Dintre aceștia, 8.161 de elevi au fost înscriși în învățământul liceal tehnic, reprezentând 62% din totalul elevilor înscriși. Această proporție semnificativă indică faptul că unul din trei elevi urmează învățământul tehnic. Învățământul profesional, pe de altă parte, a înregistrat 2.031 de elevi înscriși, ceea ce reprezintă 15% din totalul elevilor de liceu și un sfert din totalul liceenilor care urmează un profil tehnologic. În ciuda similarităților între învățământul profesional și cel tehnic, există diferențe notabile între acestea, întrucât învățământul profesional se axează pe pregătirea elevilor pentru o anumită meserie sau ocupație, pe când învățământul tehnic, în general, se concentrează pe pregătirea elevilor pentru cariere în domeniul tehnologic.</w:t>
      </w:r>
    </w:p>
    <w:p w:rsidR="009A52E1" w:rsidRDefault="009A52E1" w:rsidP="009A52E1">
      <w:pPr>
        <w:jc w:val="both"/>
        <w:rPr>
          <w:rFonts w:asciiTheme="minorHAnsi" w:hAnsiTheme="minorHAnsi"/>
          <w:b/>
          <w:sz w:val="24"/>
          <w:szCs w:val="24"/>
        </w:rPr>
      </w:pPr>
    </w:p>
    <w:p w:rsidR="009A52E1" w:rsidRPr="009A52E1" w:rsidRDefault="009A52E1" w:rsidP="009A52E1">
      <w:pPr>
        <w:jc w:val="both"/>
        <w:rPr>
          <w:rFonts w:asciiTheme="minorHAnsi" w:hAnsiTheme="minorHAnsi"/>
          <w:sz w:val="24"/>
          <w:szCs w:val="24"/>
        </w:rPr>
      </w:pPr>
      <w:r w:rsidRPr="009A52E1">
        <w:rPr>
          <w:rFonts w:asciiTheme="minorHAnsi" w:hAnsiTheme="minorHAnsi"/>
          <w:b/>
          <w:sz w:val="24"/>
          <w:szCs w:val="24"/>
        </w:rPr>
        <w:t xml:space="preserve">Concluzie: </w:t>
      </w:r>
      <w:r w:rsidRPr="009A52E1">
        <w:rPr>
          <w:rFonts w:asciiTheme="minorHAnsi" w:hAnsiTheme="minorHAnsi"/>
          <w:sz w:val="24"/>
          <w:szCs w:val="24"/>
        </w:rPr>
        <w:t>În urma preluării nevoilor pe fiecare linie de investiție a prezentului apel, se conturează următorul impact:</w:t>
      </w:r>
    </w:p>
    <w:p w:rsidR="009A52E1" w:rsidRPr="009A52E1" w:rsidRDefault="009A52E1" w:rsidP="009A52E1">
      <w:pPr>
        <w:pStyle w:val="ListParagraph"/>
        <w:numPr>
          <w:ilvl w:val="0"/>
          <w:numId w:val="28"/>
        </w:numPr>
        <w:jc w:val="both"/>
        <w:rPr>
          <w:rFonts w:asciiTheme="minorHAnsi" w:hAnsiTheme="minorHAnsi"/>
        </w:rPr>
      </w:pPr>
      <w:r w:rsidRPr="009A52E1">
        <w:rPr>
          <w:rFonts w:asciiTheme="minorHAnsi" w:hAnsiTheme="minorHAnsi"/>
        </w:rPr>
        <w:t xml:space="preserve">dotarea cu mobilier/material didactic a </w:t>
      </w:r>
      <w:r w:rsidRPr="009A52E1">
        <w:rPr>
          <w:rFonts w:asciiTheme="minorHAnsi" w:hAnsiTheme="minorHAnsi"/>
          <w:b/>
        </w:rPr>
        <w:t>1275 săli de clasă</w:t>
      </w:r>
      <w:r w:rsidRPr="009A52E1">
        <w:rPr>
          <w:rFonts w:asciiTheme="minorHAnsi" w:hAnsiTheme="minorHAnsi"/>
        </w:rPr>
        <w:t xml:space="preserve">; </w:t>
      </w:r>
    </w:p>
    <w:p w:rsidR="009A52E1" w:rsidRPr="009A52E1" w:rsidRDefault="009A52E1" w:rsidP="009A52E1">
      <w:pPr>
        <w:pStyle w:val="ListParagraph"/>
        <w:numPr>
          <w:ilvl w:val="0"/>
          <w:numId w:val="28"/>
        </w:numPr>
        <w:jc w:val="both"/>
        <w:rPr>
          <w:rFonts w:asciiTheme="minorHAnsi" w:hAnsiTheme="minorHAnsi"/>
        </w:rPr>
      </w:pPr>
      <w:r w:rsidRPr="009A52E1">
        <w:rPr>
          <w:rFonts w:asciiTheme="minorHAnsi" w:hAnsiTheme="minorHAnsi"/>
        </w:rPr>
        <w:t xml:space="preserve">dotarea cu echipamente TIC pentru </w:t>
      </w:r>
      <w:r w:rsidRPr="009A52E1">
        <w:rPr>
          <w:rFonts w:asciiTheme="minorHAnsi" w:hAnsiTheme="minorHAnsi"/>
          <w:b/>
        </w:rPr>
        <w:t>1287 săli de clasă</w:t>
      </w:r>
    </w:p>
    <w:p w:rsidR="009A52E1" w:rsidRPr="009A52E1" w:rsidRDefault="009A52E1" w:rsidP="009A52E1">
      <w:pPr>
        <w:pStyle w:val="ListParagraph"/>
        <w:numPr>
          <w:ilvl w:val="0"/>
          <w:numId w:val="28"/>
        </w:numPr>
        <w:jc w:val="both"/>
        <w:rPr>
          <w:rFonts w:asciiTheme="minorHAnsi" w:hAnsiTheme="minorHAnsi"/>
          <w:b/>
        </w:rPr>
      </w:pPr>
      <w:r w:rsidRPr="009A52E1">
        <w:rPr>
          <w:rFonts w:asciiTheme="minorHAnsi" w:hAnsiTheme="minorHAnsi"/>
        </w:rPr>
        <w:t xml:space="preserve">dotarea cu echipamente TIC pentru </w:t>
      </w:r>
      <w:r w:rsidRPr="009A52E1">
        <w:rPr>
          <w:rFonts w:asciiTheme="minorHAnsi" w:hAnsiTheme="minorHAnsi"/>
          <w:b/>
        </w:rPr>
        <w:t>42 laboratoare de informatică</w:t>
      </w:r>
      <w:r w:rsidRPr="009A52E1">
        <w:rPr>
          <w:rFonts w:asciiTheme="minorHAnsi" w:hAnsiTheme="minorHAnsi"/>
        </w:rPr>
        <w:t xml:space="preserve">, </w:t>
      </w:r>
      <w:r w:rsidRPr="009A52E1">
        <w:rPr>
          <w:rFonts w:asciiTheme="minorHAnsi" w:hAnsiTheme="minorHAnsi"/>
          <w:b/>
        </w:rPr>
        <w:t>40 laboratoare de știință multidisciplinare</w:t>
      </w:r>
      <w:r w:rsidRPr="009A52E1">
        <w:rPr>
          <w:rFonts w:asciiTheme="minorHAnsi" w:hAnsiTheme="minorHAnsi"/>
        </w:rPr>
        <w:t xml:space="preserve">, </w:t>
      </w:r>
    </w:p>
    <w:p w:rsidR="009A52E1" w:rsidRPr="009A52E1" w:rsidRDefault="009A52E1" w:rsidP="009A52E1">
      <w:pPr>
        <w:pStyle w:val="ListParagraph"/>
        <w:numPr>
          <w:ilvl w:val="0"/>
          <w:numId w:val="28"/>
        </w:numPr>
        <w:jc w:val="both"/>
        <w:rPr>
          <w:rFonts w:asciiTheme="minorHAnsi" w:hAnsiTheme="minorHAnsi"/>
          <w:b/>
        </w:rPr>
      </w:pPr>
      <w:r w:rsidRPr="009A52E1">
        <w:rPr>
          <w:rFonts w:asciiTheme="minorHAnsi" w:hAnsiTheme="minorHAnsi"/>
        </w:rPr>
        <w:t xml:space="preserve">dotarea cu mobilier specific și material didactice specifice, inclusiv echipamente digitale pentru </w:t>
      </w:r>
      <w:r w:rsidRPr="009A52E1">
        <w:rPr>
          <w:rFonts w:asciiTheme="minorHAnsi" w:hAnsiTheme="minorHAnsi"/>
          <w:b/>
        </w:rPr>
        <w:t>29 de cabinete didactice</w:t>
      </w:r>
      <w:r w:rsidRPr="009A52E1">
        <w:rPr>
          <w:rFonts w:asciiTheme="minorHAnsi" w:hAnsiTheme="minorHAnsi"/>
        </w:rPr>
        <w:t xml:space="preserve">, </w:t>
      </w:r>
      <w:r w:rsidRPr="009A52E1">
        <w:rPr>
          <w:rFonts w:asciiTheme="minorHAnsi" w:hAnsiTheme="minorHAnsi"/>
          <w:b/>
        </w:rPr>
        <w:t>50 cabinete psihopedagogice</w:t>
      </w:r>
      <w:r w:rsidRPr="009A52E1">
        <w:rPr>
          <w:rFonts w:asciiTheme="minorHAnsi" w:hAnsiTheme="minorHAnsi"/>
        </w:rPr>
        <w:t xml:space="preserve">, </w:t>
      </w:r>
      <w:r w:rsidRPr="009A52E1">
        <w:rPr>
          <w:rFonts w:asciiTheme="minorHAnsi" w:hAnsiTheme="minorHAnsi"/>
          <w:b/>
        </w:rPr>
        <w:t>27 de săli de sport</w:t>
      </w:r>
    </w:p>
    <w:p w:rsidR="009A52E1" w:rsidRPr="009A52E1" w:rsidRDefault="009A52E1" w:rsidP="009A52E1">
      <w:pPr>
        <w:pStyle w:val="ListParagraph"/>
        <w:numPr>
          <w:ilvl w:val="0"/>
          <w:numId w:val="28"/>
        </w:numPr>
        <w:jc w:val="both"/>
        <w:rPr>
          <w:rFonts w:asciiTheme="minorHAnsi" w:hAnsiTheme="minorHAnsi"/>
          <w:b/>
        </w:rPr>
      </w:pPr>
      <w:r w:rsidRPr="009A52E1">
        <w:rPr>
          <w:rFonts w:asciiTheme="minorHAnsi" w:hAnsiTheme="minorHAnsi"/>
        </w:rPr>
        <w:t xml:space="preserve">dotarea cu materiale și echipamente de specialitate pentru </w:t>
      </w:r>
      <w:r w:rsidRPr="009A52E1">
        <w:rPr>
          <w:rFonts w:asciiTheme="minorHAnsi" w:hAnsiTheme="minorHAnsi"/>
          <w:b/>
        </w:rPr>
        <w:t>11 ateliere de practică</w:t>
      </w:r>
      <w:r w:rsidRPr="009A52E1">
        <w:rPr>
          <w:rFonts w:asciiTheme="minorHAnsi" w:hAnsiTheme="minorHAnsi"/>
        </w:rPr>
        <w:t xml:space="preserve"> din unitățile de învățământ de profil tehnologic</w:t>
      </w:r>
    </w:p>
    <w:p w:rsidR="009A52E1" w:rsidRDefault="009A52E1" w:rsidP="009A52E1">
      <w:pPr>
        <w:jc w:val="both"/>
        <w:rPr>
          <w:rFonts w:asciiTheme="minorHAnsi" w:hAnsiTheme="minorHAnsi"/>
          <w:sz w:val="24"/>
          <w:szCs w:val="24"/>
        </w:rPr>
      </w:pPr>
    </w:p>
    <w:p w:rsidR="009A52E1" w:rsidRPr="009A52E1" w:rsidRDefault="009A52E1" w:rsidP="009A52E1">
      <w:pPr>
        <w:jc w:val="both"/>
        <w:rPr>
          <w:rFonts w:asciiTheme="minorHAnsi" w:hAnsiTheme="minorHAnsi"/>
          <w:sz w:val="24"/>
          <w:szCs w:val="24"/>
        </w:rPr>
      </w:pPr>
      <w:r w:rsidRPr="009A52E1">
        <w:rPr>
          <w:rFonts w:asciiTheme="minorHAnsi" w:hAnsiTheme="minorHAnsi"/>
          <w:sz w:val="24"/>
          <w:szCs w:val="24"/>
        </w:rPr>
        <w:t xml:space="preserve">Estimativ peste </w:t>
      </w:r>
      <w:r w:rsidRPr="009A52E1">
        <w:rPr>
          <w:rFonts w:asciiTheme="minorHAnsi" w:hAnsiTheme="minorHAnsi"/>
          <w:b/>
          <w:sz w:val="24"/>
          <w:szCs w:val="24"/>
        </w:rPr>
        <w:t xml:space="preserve">40.000 de elevi </w:t>
      </w:r>
      <w:r w:rsidRPr="009A52E1">
        <w:rPr>
          <w:rFonts w:asciiTheme="minorHAnsi" w:hAnsiTheme="minorHAnsi"/>
          <w:sz w:val="24"/>
          <w:szCs w:val="24"/>
        </w:rPr>
        <w:t xml:space="preserve"> înmatriculați  în unitățile de învățământ din Municipiul Timișoara vor  fi beneficiarii în anii care urmează, în dinamica ciclului educațional preuniversitar, a cel puțin uneia dintre cele 5 tipuri majore de investiții integrate:</w:t>
      </w:r>
    </w:p>
    <w:p w:rsidR="009A52E1" w:rsidRPr="009A52E1" w:rsidRDefault="009A52E1" w:rsidP="009A52E1">
      <w:pPr>
        <w:ind w:left="720"/>
        <w:jc w:val="both"/>
        <w:rPr>
          <w:rFonts w:asciiTheme="minorHAnsi" w:hAnsiTheme="minorHAnsi"/>
          <w:sz w:val="24"/>
          <w:szCs w:val="24"/>
        </w:rPr>
      </w:pPr>
      <w:r w:rsidRPr="009A52E1">
        <w:rPr>
          <w:rFonts w:asciiTheme="minorHAnsi" w:hAnsiTheme="minorHAnsi"/>
          <w:sz w:val="24"/>
          <w:szCs w:val="24"/>
        </w:rPr>
        <w:t>a) digitalizarea mediilor de învățare din învățământul preuniversitar, prin achiziționarea unor echipamente informatice necesare procesului didactic,</w:t>
      </w:r>
    </w:p>
    <w:p w:rsidR="009A52E1" w:rsidRPr="009A52E1" w:rsidRDefault="009A52E1" w:rsidP="009A52E1">
      <w:pPr>
        <w:ind w:left="720"/>
        <w:jc w:val="both"/>
        <w:rPr>
          <w:rFonts w:asciiTheme="minorHAnsi" w:hAnsiTheme="minorHAnsi"/>
          <w:sz w:val="24"/>
          <w:szCs w:val="24"/>
        </w:rPr>
      </w:pPr>
      <w:r w:rsidRPr="009A52E1">
        <w:rPr>
          <w:rFonts w:asciiTheme="minorHAnsi" w:hAnsiTheme="minorHAnsi"/>
          <w:sz w:val="24"/>
          <w:szCs w:val="24"/>
        </w:rPr>
        <w:t>b) dotarea laboratoarelor de informatică din școlile din rețeaua de educație națională de la toate nivelurile, inclusiv din palatele copiilor, cluburi și cluburi sportive, inclusiv din rețeaua de învățământ profesional și tehnic (IPT),</w:t>
      </w:r>
    </w:p>
    <w:p w:rsidR="009A52E1" w:rsidRPr="009A52E1" w:rsidRDefault="009A52E1" w:rsidP="009A52E1">
      <w:pPr>
        <w:ind w:left="720"/>
        <w:jc w:val="both"/>
        <w:rPr>
          <w:rFonts w:asciiTheme="minorHAnsi" w:hAnsiTheme="minorHAnsi"/>
          <w:sz w:val="24"/>
          <w:szCs w:val="24"/>
        </w:rPr>
      </w:pPr>
      <w:r w:rsidRPr="009A52E1">
        <w:rPr>
          <w:rFonts w:asciiTheme="minorHAnsi" w:hAnsiTheme="minorHAnsi"/>
          <w:sz w:val="24"/>
          <w:szCs w:val="24"/>
        </w:rPr>
        <w:lastRenderedPageBreak/>
        <w:t>c) dotarea cu mobilier a sălilor de clasă pentru toate nivelurile de învățământ, de la preșcolar la liceu, și a spațiilor sportive din palatele copiilor și cluburile sportive, în situația în care acesta nu a fost schimbat în ultimii 5 ani calendaristici, calculați de la data înregistrării în contabilitate a bunurilor până la data închiderii prezentului apel,</w:t>
      </w:r>
    </w:p>
    <w:p w:rsidR="009A52E1" w:rsidRPr="009A52E1" w:rsidRDefault="009A52E1" w:rsidP="009A52E1">
      <w:pPr>
        <w:ind w:left="720"/>
        <w:jc w:val="both"/>
        <w:rPr>
          <w:rFonts w:asciiTheme="minorHAnsi" w:hAnsiTheme="minorHAnsi"/>
          <w:sz w:val="24"/>
          <w:szCs w:val="24"/>
        </w:rPr>
      </w:pPr>
      <w:r w:rsidRPr="009A52E1">
        <w:rPr>
          <w:rFonts w:asciiTheme="minorHAnsi" w:hAnsiTheme="minorHAnsi"/>
          <w:sz w:val="24"/>
          <w:szCs w:val="24"/>
        </w:rPr>
        <w:t>d) echiparea cabinetelor, a cabinetelor de asistență psihopedagogică și a laboratoarelor de științe precum și înființarea unora noi, în situația în care există spații disponibile în unitatea de învățământ sau în alte tipuri de instituții eligibile în cadrul apelului (palate ale copiilor, cluburi, cluburi sportive, centre de asistență psihopedagogică)</w:t>
      </w:r>
    </w:p>
    <w:p w:rsidR="009A52E1" w:rsidRPr="009A52E1" w:rsidRDefault="009A52E1" w:rsidP="009A52E1">
      <w:pPr>
        <w:ind w:left="720"/>
        <w:jc w:val="both"/>
        <w:rPr>
          <w:rFonts w:asciiTheme="minorHAnsi" w:hAnsiTheme="minorHAnsi"/>
          <w:sz w:val="24"/>
          <w:szCs w:val="24"/>
        </w:rPr>
      </w:pPr>
      <w:r w:rsidRPr="009A52E1">
        <w:rPr>
          <w:rFonts w:asciiTheme="minorHAnsi" w:hAnsiTheme="minorHAnsi"/>
          <w:sz w:val="24"/>
          <w:szCs w:val="24"/>
        </w:rPr>
        <w:t>e) echiparea atelierelor de practică, inclusiv cu componente digitale specifice domeniului de calificare.</w:t>
      </w:r>
    </w:p>
    <w:p w:rsidR="009A52E1" w:rsidRDefault="009A52E1" w:rsidP="009A52E1">
      <w:pPr>
        <w:jc w:val="both"/>
        <w:rPr>
          <w:rFonts w:asciiTheme="minorHAnsi" w:hAnsiTheme="minorHAnsi"/>
          <w:sz w:val="24"/>
          <w:szCs w:val="24"/>
        </w:rPr>
      </w:pPr>
    </w:p>
    <w:p w:rsidR="009A52E1" w:rsidRPr="009A52E1" w:rsidRDefault="009A52E1" w:rsidP="009A52E1">
      <w:pPr>
        <w:ind w:firstLine="720"/>
        <w:jc w:val="both"/>
        <w:rPr>
          <w:rFonts w:asciiTheme="minorHAnsi" w:hAnsiTheme="minorHAnsi"/>
          <w:sz w:val="24"/>
          <w:szCs w:val="24"/>
        </w:rPr>
      </w:pPr>
      <w:r w:rsidRPr="009A52E1">
        <w:rPr>
          <w:rFonts w:asciiTheme="minorHAnsi" w:hAnsiTheme="minorHAnsi"/>
          <w:sz w:val="24"/>
          <w:szCs w:val="24"/>
        </w:rPr>
        <w:t>Analiza de nevoi exprimată de unitățile de învățământ este verificată și avizată de Inspectoratul Școlar Județean, care verifică dacă spațiile educaționale există în Sistemul Informatic Integrat al Învăţământului din România</w:t>
      </w:r>
    </w:p>
    <w:p w:rsidR="009A52E1" w:rsidRPr="009A52E1" w:rsidRDefault="009A52E1" w:rsidP="009A52E1">
      <w:pPr>
        <w:jc w:val="both"/>
        <w:rPr>
          <w:rFonts w:asciiTheme="minorHAnsi" w:eastAsia="Times New Roman" w:hAnsiTheme="minorHAnsi"/>
          <w:b/>
          <w:bCs/>
          <w:color w:val="000000"/>
          <w:sz w:val="24"/>
          <w:szCs w:val="24"/>
          <w:lang w:eastAsia="ro-RO"/>
        </w:rPr>
      </w:pPr>
      <w:r w:rsidRPr="009A52E1">
        <w:rPr>
          <w:rFonts w:asciiTheme="minorHAnsi" w:hAnsiTheme="minorHAnsi"/>
          <w:sz w:val="24"/>
          <w:szCs w:val="24"/>
        </w:rPr>
        <w:t xml:space="preserve">Bugetul total pentru dotările cuprinse conform prezentului ghid, pe costurile maxime eligibile, este de </w:t>
      </w:r>
      <w:r w:rsidRPr="009A52E1">
        <w:rPr>
          <w:rFonts w:asciiTheme="minorHAnsi" w:hAnsiTheme="minorHAnsi"/>
          <w:b/>
          <w:bCs/>
          <w:sz w:val="24"/>
          <w:szCs w:val="24"/>
        </w:rPr>
        <w:t>72,554,266.89</w:t>
      </w:r>
      <w:r w:rsidRPr="009A52E1">
        <w:rPr>
          <w:rFonts w:asciiTheme="minorHAnsi" w:hAnsiTheme="minorHAnsi"/>
          <w:sz w:val="24"/>
          <w:szCs w:val="24"/>
        </w:rPr>
        <w:t xml:space="preserve"> </w:t>
      </w:r>
      <w:r w:rsidRPr="009A52E1">
        <w:rPr>
          <w:rFonts w:asciiTheme="minorHAnsi" w:hAnsiTheme="minorHAnsi"/>
          <w:b/>
          <w:bCs/>
          <w:sz w:val="24"/>
          <w:szCs w:val="24"/>
        </w:rPr>
        <w:t>lei</w:t>
      </w:r>
      <w:r w:rsidRPr="009A52E1">
        <w:rPr>
          <w:rFonts w:asciiTheme="minorHAnsi" w:hAnsiTheme="minorHAnsi"/>
          <w:sz w:val="24"/>
          <w:szCs w:val="24"/>
        </w:rPr>
        <w:t xml:space="preserve">, fără TVA, la care se adaugă valoarea cheltuielilor neeligibile dar obligatorii pentru implementarea eficientă a proiectului (informare, publicitate, concept dotare soluții integrate.). Pentru cheltuielile neeligibile și având în vedere eventualele fluctuații ale prețurilor pieței, se propune un procent de 10% pe fiecare linie de investiție, însumând un cuantum  </w:t>
      </w:r>
      <w:r w:rsidRPr="009A52E1">
        <w:rPr>
          <w:rFonts w:asciiTheme="minorHAnsi" w:eastAsia="Times New Roman" w:hAnsiTheme="minorHAnsi"/>
          <w:color w:val="000000"/>
          <w:sz w:val="24"/>
          <w:szCs w:val="24"/>
          <w:lang w:eastAsia="ro-RO"/>
        </w:rPr>
        <w:t xml:space="preserve">  </w:t>
      </w:r>
      <w:r w:rsidRPr="009A52E1">
        <w:rPr>
          <w:rFonts w:asciiTheme="minorHAnsi" w:eastAsia="Times New Roman" w:hAnsiTheme="minorHAnsi"/>
          <w:b/>
          <w:bCs/>
          <w:color w:val="000000"/>
          <w:sz w:val="24"/>
          <w:szCs w:val="24"/>
          <w:lang w:eastAsia="ro-RO"/>
        </w:rPr>
        <w:t>7.255.426,69 lei</w:t>
      </w:r>
      <w:r>
        <w:rPr>
          <w:rFonts w:asciiTheme="minorHAnsi" w:eastAsia="Times New Roman" w:hAnsiTheme="minorHAnsi"/>
          <w:b/>
          <w:bCs/>
          <w:color w:val="000000"/>
          <w:sz w:val="24"/>
          <w:szCs w:val="24"/>
          <w:lang w:eastAsia="ro-RO"/>
        </w:rPr>
        <w:t>.</w:t>
      </w:r>
    </w:p>
    <w:p w:rsidR="009A52E1" w:rsidRPr="009A52E1" w:rsidRDefault="009A52E1" w:rsidP="009A52E1">
      <w:pPr>
        <w:jc w:val="both"/>
        <w:rPr>
          <w:rFonts w:asciiTheme="minorHAnsi" w:eastAsia="Times New Roman" w:hAnsiTheme="minorHAnsi"/>
          <w:color w:val="000000"/>
          <w:sz w:val="24"/>
          <w:szCs w:val="24"/>
          <w:lang w:eastAsia="ro-RO"/>
        </w:rPr>
      </w:pPr>
      <w:r w:rsidRPr="009A52E1">
        <w:rPr>
          <w:rFonts w:asciiTheme="minorHAnsi" w:hAnsiTheme="minorHAnsi"/>
          <w:sz w:val="24"/>
          <w:szCs w:val="24"/>
        </w:rPr>
        <w:t xml:space="preserve">Astfel, valoarea totală a investiției se ridică la </w:t>
      </w:r>
      <w:r w:rsidRPr="009A52E1">
        <w:rPr>
          <w:rFonts w:asciiTheme="minorHAnsi" w:hAnsiTheme="minorHAnsi"/>
          <w:b/>
          <w:bCs/>
          <w:sz w:val="24"/>
          <w:szCs w:val="24"/>
        </w:rPr>
        <w:t>79.809.693,58</w:t>
      </w:r>
      <w:r w:rsidRPr="009A52E1">
        <w:rPr>
          <w:rFonts w:asciiTheme="minorHAnsi" w:eastAsia="Times New Roman" w:hAnsiTheme="minorHAnsi"/>
          <w:color w:val="000000"/>
          <w:sz w:val="24"/>
          <w:szCs w:val="24"/>
          <w:lang w:eastAsia="ro-RO"/>
        </w:rPr>
        <w:t xml:space="preserve"> </w:t>
      </w:r>
      <w:r w:rsidRPr="009A52E1">
        <w:rPr>
          <w:rFonts w:asciiTheme="minorHAnsi" w:eastAsia="Times New Roman" w:hAnsiTheme="minorHAnsi"/>
          <w:b/>
          <w:bCs/>
          <w:color w:val="000000"/>
          <w:sz w:val="24"/>
          <w:szCs w:val="24"/>
          <w:lang w:eastAsia="ro-RO"/>
        </w:rPr>
        <w:t>lei</w:t>
      </w:r>
      <w:r>
        <w:rPr>
          <w:rFonts w:asciiTheme="minorHAnsi" w:eastAsia="Times New Roman" w:hAnsiTheme="minorHAnsi"/>
          <w:b/>
          <w:bCs/>
          <w:color w:val="000000"/>
          <w:sz w:val="24"/>
          <w:szCs w:val="24"/>
          <w:lang w:eastAsia="ro-RO"/>
        </w:rPr>
        <w:t>.</w:t>
      </w:r>
    </w:p>
    <w:p w:rsidR="009A52E1" w:rsidRPr="009A52E1" w:rsidRDefault="009A52E1" w:rsidP="009A52E1">
      <w:pPr>
        <w:jc w:val="both"/>
        <w:rPr>
          <w:rFonts w:asciiTheme="minorHAnsi" w:eastAsia="Times New Roman" w:hAnsiTheme="minorHAnsi"/>
          <w:color w:val="000000"/>
          <w:sz w:val="24"/>
          <w:szCs w:val="24"/>
          <w:lang w:eastAsia="ro-RO"/>
        </w:rPr>
      </w:pPr>
    </w:p>
    <w:p w:rsidR="009A52E1" w:rsidRPr="009A52E1" w:rsidRDefault="009A52E1" w:rsidP="009A52E1">
      <w:pPr>
        <w:ind w:firstLine="720"/>
        <w:jc w:val="both"/>
        <w:rPr>
          <w:rFonts w:asciiTheme="minorHAnsi" w:hAnsiTheme="minorHAnsi" w:cstheme="minorHAnsi"/>
          <w:bCs/>
          <w:sz w:val="24"/>
          <w:szCs w:val="24"/>
        </w:rPr>
      </w:pPr>
      <w:r w:rsidRPr="009A52E1">
        <w:rPr>
          <w:rFonts w:asciiTheme="minorHAnsi" w:hAnsiTheme="minorHAnsi" w:cstheme="minorHAnsi"/>
          <w:sz w:val="24"/>
          <w:szCs w:val="24"/>
        </w:rPr>
        <w:t>Menționăm că unitățile conexe  denumite Clubul Sportiv Școlar nr. 1, Clubul Sportiv Școlar Bega și Palatul Copiilor Timișoara  trebuie să încheie, conform ghidului solicitantului,  acorduri de parteneriat cu</w:t>
      </w:r>
      <w:r>
        <w:rPr>
          <w:rFonts w:asciiTheme="minorHAnsi" w:hAnsiTheme="minorHAnsi" w:cstheme="minorHAnsi"/>
          <w:sz w:val="24"/>
          <w:szCs w:val="24"/>
        </w:rPr>
        <w:t xml:space="preserve"> </w:t>
      </w:r>
      <w:r w:rsidRPr="009A52E1">
        <w:rPr>
          <w:rFonts w:asciiTheme="minorHAnsi" w:hAnsiTheme="minorHAnsi" w:cstheme="minorHAnsi"/>
          <w:b/>
          <w:bCs/>
          <w:sz w:val="24"/>
          <w:szCs w:val="24"/>
        </w:rPr>
        <w:t>UAT</w:t>
      </w:r>
      <w:r w:rsidRPr="009A52E1">
        <w:rPr>
          <w:rFonts w:asciiTheme="minorHAnsi" w:hAnsiTheme="minorHAnsi" w:cstheme="minorHAnsi"/>
          <w:sz w:val="24"/>
          <w:szCs w:val="24"/>
        </w:rPr>
        <w:t xml:space="preserve"> </w:t>
      </w:r>
      <w:r w:rsidRPr="009A52E1">
        <w:rPr>
          <w:rFonts w:asciiTheme="minorHAnsi" w:hAnsiTheme="minorHAnsi" w:cstheme="minorHAnsi"/>
          <w:b/>
          <w:bCs/>
          <w:sz w:val="24"/>
          <w:szCs w:val="24"/>
        </w:rPr>
        <w:t xml:space="preserve">Municipiul Timișoara,  </w:t>
      </w:r>
      <w:r w:rsidRPr="009A52E1">
        <w:rPr>
          <w:rFonts w:asciiTheme="minorHAnsi" w:hAnsiTheme="minorHAnsi" w:cstheme="minorHAnsi"/>
          <w:bCs/>
          <w:sz w:val="24"/>
          <w:szCs w:val="24"/>
        </w:rPr>
        <w:t>în calitate de solicitant eligibil, prin care vor conveni că aceasta din urmă</w:t>
      </w:r>
      <w:r w:rsidRPr="009A52E1">
        <w:rPr>
          <w:rFonts w:asciiTheme="minorHAnsi" w:hAnsiTheme="minorHAnsi" w:cstheme="minorHAnsi"/>
          <w:b/>
          <w:bCs/>
          <w:sz w:val="24"/>
          <w:szCs w:val="24"/>
        </w:rPr>
        <w:t xml:space="preserve"> </w:t>
      </w:r>
      <w:r w:rsidRPr="009A52E1">
        <w:rPr>
          <w:rFonts w:asciiTheme="minorHAnsi" w:hAnsiTheme="minorHAnsi" w:cstheme="minorHAnsi"/>
          <w:sz w:val="24"/>
          <w:szCs w:val="24"/>
        </w:rPr>
        <w:t>va intreprinde diligențele necesare în vederea depunerii și implementării aplicației de finanțare  pentru apelul de proiecte „Dotarea cu mobilier, materiale didactice și echipamente digitale a unităților de învățământ preuniversitar și a unităților conexe”, finanțat prin  Programul Național de Redresare și Reziliență -  Componenta C15 Educație</w:t>
      </w:r>
      <w:r w:rsidRPr="009A52E1">
        <w:rPr>
          <w:rFonts w:asciiTheme="minorHAnsi" w:hAnsiTheme="minorHAnsi" w:cstheme="minorHAnsi"/>
          <w:bCs/>
          <w:sz w:val="24"/>
          <w:szCs w:val="24"/>
        </w:rPr>
        <w:t xml:space="preserve"> pentru </w:t>
      </w:r>
      <w:r w:rsidRPr="009A52E1">
        <w:rPr>
          <w:rFonts w:asciiTheme="minorHAnsi" w:hAnsiTheme="minorHAnsi" w:cstheme="minorHAnsi"/>
          <w:sz w:val="24"/>
          <w:szCs w:val="24"/>
        </w:rPr>
        <w:t xml:space="preserve">aceste entități în calitate de </w:t>
      </w:r>
      <w:r w:rsidRPr="009A52E1">
        <w:rPr>
          <w:rFonts w:asciiTheme="minorHAnsi" w:hAnsiTheme="minorHAnsi" w:cstheme="minorHAnsi"/>
          <w:bCs/>
          <w:sz w:val="24"/>
          <w:szCs w:val="24"/>
        </w:rPr>
        <w:t xml:space="preserve"> utilizatori finali. Acordul de parteneriat este detaliat în cadrul Anexei 2.</w:t>
      </w:r>
    </w:p>
    <w:p w:rsidR="009A52E1" w:rsidRPr="009A52E1" w:rsidRDefault="009A52E1" w:rsidP="009A52E1">
      <w:pPr>
        <w:jc w:val="both"/>
        <w:rPr>
          <w:rFonts w:asciiTheme="minorHAnsi" w:hAnsiTheme="minorHAnsi" w:cstheme="minorHAnsi"/>
          <w:bCs/>
          <w:sz w:val="24"/>
          <w:szCs w:val="24"/>
        </w:rPr>
      </w:pPr>
    </w:p>
    <w:p w:rsidR="009A52E1" w:rsidRPr="009A52E1" w:rsidRDefault="009A52E1" w:rsidP="009A52E1">
      <w:pPr>
        <w:ind w:firstLine="720"/>
        <w:jc w:val="both"/>
        <w:rPr>
          <w:rFonts w:asciiTheme="minorHAnsi" w:hAnsiTheme="minorHAnsi" w:cstheme="minorHAnsi"/>
          <w:sz w:val="24"/>
          <w:szCs w:val="24"/>
        </w:rPr>
      </w:pPr>
      <w:r w:rsidRPr="009A52E1">
        <w:rPr>
          <w:rFonts w:asciiTheme="minorHAnsi" w:hAnsiTheme="minorHAnsi"/>
          <w:sz w:val="24"/>
          <w:szCs w:val="24"/>
        </w:rPr>
        <w:t xml:space="preserve">Având în vedere oportunitatea apelului competitiv </w:t>
      </w:r>
      <w:r w:rsidRPr="009A52E1">
        <w:rPr>
          <w:rFonts w:asciiTheme="minorHAnsi" w:hAnsiTheme="minorHAnsi" w:cstheme="minorHAnsi"/>
          <w:sz w:val="24"/>
          <w:szCs w:val="24"/>
        </w:rPr>
        <w:t xml:space="preserve">„Dotarea cu mobilier, materiale didactice și echipamente digitale a unităților de învățământ preuniversitar și a unităților conexe”, finanțat prin  Programul Național de Redresare și Reziliență -  Componenta C15 Educație și a impactului pe care îl poate aduce în rândul unităților de </w:t>
      </w:r>
      <w:r w:rsidRPr="009A52E1">
        <w:rPr>
          <w:rFonts w:asciiTheme="minorHAnsi" w:hAnsiTheme="minorHAnsi" w:cstheme="minorHAnsi"/>
          <w:sz w:val="24"/>
          <w:szCs w:val="24"/>
        </w:rPr>
        <w:lastRenderedPageBreak/>
        <w:t>învățământ și a celor conexe și luând în considerare rigorile cerute de ghidul solicitantului, propunem</w:t>
      </w:r>
    </w:p>
    <w:p w:rsidR="009A52E1" w:rsidRPr="009A52E1" w:rsidRDefault="009A52E1" w:rsidP="009A52E1">
      <w:pPr>
        <w:jc w:val="both"/>
        <w:rPr>
          <w:rFonts w:asciiTheme="minorHAnsi" w:hAnsiTheme="minorHAnsi" w:cstheme="minorHAnsi"/>
          <w:sz w:val="24"/>
          <w:szCs w:val="24"/>
        </w:rPr>
      </w:pPr>
    </w:p>
    <w:p w:rsidR="009A52E1" w:rsidRPr="009A52E1" w:rsidRDefault="009A52E1" w:rsidP="009A52E1">
      <w:pPr>
        <w:pStyle w:val="ListParagraph"/>
        <w:numPr>
          <w:ilvl w:val="0"/>
          <w:numId w:val="29"/>
        </w:numPr>
        <w:jc w:val="both"/>
        <w:rPr>
          <w:rFonts w:asciiTheme="minorHAnsi" w:hAnsiTheme="minorHAnsi" w:cstheme="minorHAnsi"/>
        </w:rPr>
      </w:pPr>
      <w:r w:rsidRPr="009A52E1">
        <w:rPr>
          <w:rFonts w:asciiTheme="minorHAnsi" w:hAnsiTheme="minorHAnsi"/>
        </w:rPr>
        <w:t>depunerea cererii de finanțare din partea Municipiului Timișoara</w:t>
      </w:r>
      <w:r>
        <w:rPr>
          <w:rFonts w:asciiTheme="minorHAnsi" w:hAnsiTheme="minorHAnsi"/>
        </w:rPr>
        <w:t>, ca solicitant eligibil,</w:t>
      </w:r>
      <w:r w:rsidRPr="009A52E1">
        <w:rPr>
          <w:rFonts w:asciiTheme="minorHAnsi" w:hAnsiTheme="minorHAnsi"/>
        </w:rPr>
        <w:t xml:space="preserve"> pe apelul apelului competitiv </w:t>
      </w:r>
      <w:r w:rsidRPr="009A52E1">
        <w:rPr>
          <w:rFonts w:asciiTheme="minorHAnsi" w:hAnsiTheme="minorHAnsi" w:cstheme="minorHAnsi"/>
          <w:i/>
          <w:iCs/>
        </w:rPr>
        <w:t>„Dotarea cu mobilier, materiale didactice și echipamente digitale a unităților de învățământ preuniversitar și a unităților conexe”,</w:t>
      </w:r>
      <w:r w:rsidRPr="009A52E1">
        <w:rPr>
          <w:rFonts w:asciiTheme="minorHAnsi" w:hAnsiTheme="minorHAnsi" w:cstheme="minorHAnsi"/>
        </w:rPr>
        <w:t xml:space="preserve"> finanțat prin Programul Național de Redresare și Reziliență - Componenta C15 Educație, luând în considerare nevoile exprimate de unitățile de învățământ și a celor conexe de pe raza Municipiului Timișoara menționate la Anexa nr. 1</w:t>
      </w:r>
    </w:p>
    <w:p w:rsidR="009A52E1" w:rsidRPr="009A52E1" w:rsidRDefault="009A52E1" w:rsidP="009A52E1">
      <w:pPr>
        <w:jc w:val="both"/>
        <w:rPr>
          <w:rFonts w:asciiTheme="minorHAnsi" w:hAnsiTheme="minorHAnsi" w:cstheme="minorHAnsi"/>
          <w:sz w:val="24"/>
          <w:szCs w:val="24"/>
        </w:rPr>
      </w:pPr>
    </w:p>
    <w:p w:rsidR="009A52E1" w:rsidRPr="009A52E1" w:rsidRDefault="009A52E1" w:rsidP="009A52E1">
      <w:pPr>
        <w:pStyle w:val="ListParagraph"/>
        <w:numPr>
          <w:ilvl w:val="0"/>
          <w:numId w:val="29"/>
        </w:numPr>
        <w:jc w:val="both"/>
        <w:rPr>
          <w:rFonts w:asciiTheme="minorHAnsi" w:hAnsiTheme="minorHAnsi" w:cs="Calibri"/>
        </w:rPr>
      </w:pPr>
      <w:r w:rsidRPr="009A52E1">
        <w:rPr>
          <w:rFonts w:asciiTheme="minorHAnsi" w:hAnsiTheme="minorHAnsi" w:cstheme="minorHAnsi"/>
        </w:rPr>
        <w:t>semnarea acordurilor de parteneriat de către reprezentantul legal al Mun. Timișoara cu unitățile conexe pentru depunerea cererii de finanțare în numele acestora, conform Anexei nr. 2</w:t>
      </w:r>
    </w:p>
    <w:p w:rsidR="009A52E1" w:rsidRPr="009A52E1" w:rsidRDefault="009A52E1" w:rsidP="009A52E1">
      <w:pPr>
        <w:pStyle w:val="ListParagraph"/>
        <w:jc w:val="both"/>
        <w:rPr>
          <w:rFonts w:asciiTheme="minorHAnsi" w:eastAsia="EB Garamond" w:hAnsiTheme="minorHAnsi" w:cs="EB Garamond"/>
          <w:b/>
          <w:bCs/>
        </w:rPr>
      </w:pPr>
    </w:p>
    <w:p w:rsidR="009A52E1" w:rsidRPr="009A52E1" w:rsidRDefault="009A52E1" w:rsidP="009A52E1">
      <w:pPr>
        <w:pStyle w:val="ListParagraph"/>
        <w:jc w:val="both"/>
        <w:rPr>
          <w:rFonts w:asciiTheme="minorHAnsi" w:eastAsia="EB Garamond" w:hAnsiTheme="minorHAnsi" w:cs="EB Garamond"/>
          <w:b/>
          <w:bCs/>
        </w:rPr>
      </w:pPr>
    </w:p>
    <w:p w:rsidR="009A52E1" w:rsidRDefault="009A52E1" w:rsidP="009A52E1">
      <w:pPr>
        <w:pStyle w:val="ListParagraph"/>
        <w:jc w:val="both"/>
        <w:rPr>
          <w:rFonts w:asciiTheme="minorHAnsi" w:eastAsia="EB Garamond" w:hAnsiTheme="minorHAnsi" w:cs="EB Garamond"/>
          <w:b/>
          <w:bCs/>
        </w:rPr>
      </w:pPr>
      <w:r w:rsidRPr="009A52E1">
        <w:rPr>
          <w:rFonts w:asciiTheme="minorHAnsi" w:eastAsia="EB Garamond" w:hAnsiTheme="minorHAnsi" w:cs="EB Garamond"/>
          <w:b/>
          <w:bCs/>
        </w:rPr>
        <w:t>Director General</w:t>
      </w:r>
      <w:r w:rsidRPr="009A52E1">
        <w:rPr>
          <w:rFonts w:asciiTheme="minorHAnsi" w:eastAsia="EB Garamond" w:hAnsiTheme="minorHAnsi" w:cs="EB Garamond"/>
          <w:b/>
          <w:bCs/>
        </w:rPr>
        <w:tab/>
      </w:r>
      <w:r w:rsidRPr="009A52E1">
        <w:rPr>
          <w:rFonts w:asciiTheme="minorHAnsi" w:eastAsia="EB Garamond" w:hAnsiTheme="minorHAnsi" w:cs="EB Garamond"/>
        </w:rPr>
        <w:tab/>
      </w:r>
      <w:r w:rsidRPr="009A52E1">
        <w:rPr>
          <w:rFonts w:asciiTheme="minorHAnsi" w:eastAsia="EB Garamond" w:hAnsiTheme="minorHAnsi" w:cs="EB Garamond"/>
          <w:b/>
          <w:bCs/>
        </w:rPr>
        <w:tab/>
      </w:r>
    </w:p>
    <w:p w:rsidR="009A52E1" w:rsidRPr="009A52E1" w:rsidRDefault="009A52E1" w:rsidP="009A52E1">
      <w:pPr>
        <w:pStyle w:val="ListParagraph"/>
        <w:jc w:val="both"/>
        <w:rPr>
          <w:rFonts w:asciiTheme="minorHAnsi" w:eastAsia="EB Garamond" w:hAnsiTheme="minorHAnsi" w:cs="EB Garamond"/>
          <w:b/>
          <w:bCs/>
        </w:rPr>
      </w:pPr>
      <w:r w:rsidRPr="009A52E1">
        <w:rPr>
          <w:rFonts w:asciiTheme="minorHAnsi" w:eastAsia="EB Garamond" w:hAnsiTheme="minorHAnsi" w:cs="EB Garamond"/>
        </w:rPr>
        <w:t>Mihai BONCEA</w:t>
      </w:r>
      <w:r w:rsidRPr="009A52E1">
        <w:rPr>
          <w:rFonts w:asciiTheme="minorHAnsi" w:eastAsia="EB Garamond" w:hAnsiTheme="minorHAnsi" w:cs="EB Garamond"/>
        </w:rPr>
        <w:tab/>
      </w:r>
      <w:r w:rsidRPr="009A52E1">
        <w:rPr>
          <w:rFonts w:asciiTheme="minorHAnsi" w:eastAsia="EB Garamond" w:hAnsiTheme="minorHAnsi" w:cs="EB Garamond"/>
        </w:rPr>
        <w:tab/>
      </w:r>
      <w:r w:rsidRPr="009A52E1">
        <w:rPr>
          <w:rFonts w:asciiTheme="minorHAnsi" w:eastAsia="EB Garamond" w:hAnsiTheme="minorHAnsi" w:cs="EB Garamond"/>
        </w:rPr>
        <w:tab/>
      </w:r>
      <w:r w:rsidRPr="009A52E1">
        <w:rPr>
          <w:rFonts w:asciiTheme="minorHAnsi" w:eastAsia="EB Garamond" w:hAnsiTheme="minorHAnsi" w:cs="EB Garamond"/>
        </w:rPr>
        <w:tab/>
      </w:r>
      <w:r w:rsidRPr="009A52E1">
        <w:rPr>
          <w:rFonts w:asciiTheme="minorHAnsi" w:eastAsia="EB Garamond" w:hAnsiTheme="minorHAnsi" w:cs="EB Garamond"/>
        </w:rPr>
        <w:tab/>
      </w:r>
      <w:r w:rsidRPr="009A52E1">
        <w:rPr>
          <w:rFonts w:asciiTheme="minorHAnsi" w:eastAsia="EB Garamond" w:hAnsiTheme="minorHAnsi" w:cs="EB Garamond"/>
        </w:rPr>
        <w:tab/>
      </w:r>
    </w:p>
    <w:p w:rsidR="009A52E1" w:rsidRPr="009A52E1" w:rsidRDefault="009A52E1" w:rsidP="009A52E1">
      <w:pPr>
        <w:pStyle w:val="ListParagraph"/>
        <w:spacing w:before="240" w:after="240"/>
        <w:jc w:val="both"/>
        <w:rPr>
          <w:rFonts w:asciiTheme="minorHAnsi" w:eastAsia="EB Garamond" w:hAnsiTheme="minorHAnsi" w:cs="EB Garamond"/>
        </w:rPr>
      </w:pPr>
    </w:p>
    <w:p w:rsidR="009A52E1" w:rsidRDefault="009A52E1" w:rsidP="009A52E1">
      <w:pPr>
        <w:pStyle w:val="ListParagraph"/>
        <w:spacing w:before="240" w:after="240"/>
        <w:jc w:val="both"/>
        <w:rPr>
          <w:rFonts w:asciiTheme="minorHAnsi" w:eastAsia="EB Garamond" w:hAnsiTheme="minorHAnsi" w:cs="EB Garamond"/>
          <w:b/>
          <w:bCs/>
        </w:rPr>
      </w:pPr>
    </w:p>
    <w:p w:rsidR="009A52E1" w:rsidRDefault="009A52E1" w:rsidP="009A52E1">
      <w:pPr>
        <w:pStyle w:val="ListParagraph"/>
        <w:spacing w:before="240" w:after="240"/>
        <w:jc w:val="both"/>
        <w:rPr>
          <w:rFonts w:asciiTheme="minorHAnsi" w:eastAsia="EB Garamond" w:hAnsiTheme="minorHAnsi" w:cs="EB Garamond"/>
          <w:b/>
          <w:bCs/>
        </w:rPr>
      </w:pPr>
    </w:p>
    <w:p w:rsidR="009A52E1" w:rsidRDefault="009A52E1" w:rsidP="009A52E1">
      <w:pPr>
        <w:pStyle w:val="ListParagraph"/>
        <w:spacing w:before="240" w:after="240"/>
        <w:jc w:val="both"/>
        <w:rPr>
          <w:rFonts w:asciiTheme="minorHAnsi" w:eastAsia="EB Garamond" w:hAnsiTheme="minorHAnsi" w:cs="EB Garamond"/>
          <w:b/>
          <w:bCs/>
        </w:rPr>
      </w:pPr>
    </w:p>
    <w:p w:rsidR="009A52E1" w:rsidRDefault="009A52E1" w:rsidP="009A52E1">
      <w:pPr>
        <w:pStyle w:val="ListParagraph"/>
        <w:spacing w:before="240" w:after="240"/>
        <w:jc w:val="both"/>
        <w:rPr>
          <w:rFonts w:asciiTheme="minorHAnsi" w:eastAsia="EB Garamond" w:hAnsiTheme="minorHAnsi" w:cs="EB Garamond"/>
          <w:b/>
          <w:bCs/>
        </w:rPr>
      </w:pPr>
    </w:p>
    <w:p w:rsidR="009A52E1" w:rsidRPr="009A52E1" w:rsidRDefault="009A52E1" w:rsidP="009A52E1">
      <w:pPr>
        <w:pStyle w:val="ListParagraph"/>
        <w:spacing w:before="240" w:after="240"/>
        <w:jc w:val="right"/>
        <w:rPr>
          <w:rFonts w:asciiTheme="minorHAnsi" w:eastAsia="EB Garamond" w:hAnsiTheme="minorHAnsi" w:cs="EB Garamond"/>
        </w:rPr>
      </w:pPr>
      <w:r w:rsidRPr="009A52E1">
        <w:rPr>
          <w:rFonts w:asciiTheme="minorHAnsi" w:eastAsia="EB Garamond" w:hAnsiTheme="minorHAnsi" w:cs="EB Garamond"/>
          <w:b/>
          <w:bCs/>
        </w:rPr>
        <w:t>Șef Serviciu Strategii și Programe Educaționale</w:t>
      </w:r>
    </w:p>
    <w:p w:rsidR="009A52E1" w:rsidRPr="009A52E1" w:rsidRDefault="009A52E1" w:rsidP="009A52E1">
      <w:pPr>
        <w:pStyle w:val="ListParagraph"/>
        <w:spacing w:after="240"/>
        <w:jc w:val="right"/>
        <w:rPr>
          <w:rFonts w:asciiTheme="minorHAnsi" w:eastAsia="EB Garamond" w:hAnsiTheme="minorHAnsi" w:cs="EB Garamond"/>
        </w:rPr>
      </w:pPr>
      <w:r w:rsidRPr="009A52E1">
        <w:rPr>
          <w:rFonts w:asciiTheme="minorHAnsi" w:eastAsia="EB Garamond" w:hAnsiTheme="minorHAnsi" w:cs="EB Garamond"/>
        </w:rPr>
        <w:t>Carmen PROTEASA</w:t>
      </w:r>
    </w:p>
    <w:p w:rsidR="009A52E1" w:rsidRPr="009A52E1" w:rsidRDefault="009A52E1" w:rsidP="009A52E1">
      <w:pPr>
        <w:pStyle w:val="ListParagraph"/>
        <w:spacing w:after="240"/>
        <w:jc w:val="right"/>
        <w:rPr>
          <w:rFonts w:asciiTheme="minorHAnsi" w:eastAsia="EB Garamond" w:hAnsiTheme="minorHAnsi" w:cs="EB Garamond"/>
        </w:rPr>
      </w:pPr>
    </w:p>
    <w:p w:rsidR="009A52E1" w:rsidRDefault="009A52E1" w:rsidP="009A52E1">
      <w:pPr>
        <w:pStyle w:val="ListParagraph"/>
        <w:spacing w:after="240"/>
        <w:jc w:val="right"/>
        <w:rPr>
          <w:rFonts w:asciiTheme="minorHAnsi" w:eastAsia="EB Garamond" w:hAnsiTheme="minorHAnsi" w:cs="EB Garamond"/>
          <w:b/>
          <w:bCs/>
        </w:rPr>
      </w:pPr>
    </w:p>
    <w:p w:rsidR="009A52E1" w:rsidRDefault="009A52E1" w:rsidP="009A52E1">
      <w:pPr>
        <w:pStyle w:val="ListParagraph"/>
        <w:spacing w:after="240"/>
        <w:jc w:val="right"/>
        <w:rPr>
          <w:rFonts w:asciiTheme="minorHAnsi" w:eastAsia="EB Garamond" w:hAnsiTheme="minorHAnsi" w:cs="EB Garamond"/>
          <w:b/>
          <w:bCs/>
        </w:rPr>
      </w:pPr>
    </w:p>
    <w:p w:rsidR="009A52E1" w:rsidRDefault="009A52E1" w:rsidP="009A52E1">
      <w:pPr>
        <w:pStyle w:val="ListParagraph"/>
        <w:spacing w:after="240"/>
        <w:jc w:val="right"/>
        <w:rPr>
          <w:rFonts w:asciiTheme="minorHAnsi" w:eastAsia="EB Garamond" w:hAnsiTheme="minorHAnsi" w:cs="EB Garamond"/>
          <w:b/>
          <w:bCs/>
        </w:rPr>
      </w:pPr>
    </w:p>
    <w:p w:rsidR="009A52E1" w:rsidRPr="009A52E1" w:rsidRDefault="009A52E1" w:rsidP="009A52E1">
      <w:pPr>
        <w:pStyle w:val="ListParagraph"/>
        <w:spacing w:after="240"/>
        <w:jc w:val="right"/>
        <w:rPr>
          <w:rFonts w:asciiTheme="minorHAnsi" w:eastAsia="EB Garamond" w:hAnsiTheme="minorHAnsi" w:cs="EB Garamond"/>
          <w:b/>
          <w:bCs/>
        </w:rPr>
      </w:pPr>
      <w:r w:rsidRPr="009A52E1">
        <w:rPr>
          <w:rFonts w:asciiTheme="minorHAnsi" w:eastAsia="EB Garamond" w:hAnsiTheme="minorHAnsi" w:cs="EB Garamond"/>
          <w:b/>
          <w:bCs/>
        </w:rPr>
        <w:t>Consilier,</w:t>
      </w:r>
    </w:p>
    <w:p w:rsidR="009A52E1" w:rsidRPr="009A52E1" w:rsidRDefault="009A52E1" w:rsidP="009A52E1">
      <w:pPr>
        <w:pStyle w:val="ListParagraph"/>
        <w:spacing w:after="240"/>
        <w:jc w:val="right"/>
        <w:rPr>
          <w:rFonts w:asciiTheme="minorHAnsi" w:eastAsia="EB Garamond" w:hAnsiTheme="minorHAnsi" w:cs="EB Garamond"/>
        </w:rPr>
      </w:pPr>
      <w:r w:rsidRPr="009A52E1">
        <w:rPr>
          <w:rFonts w:asciiTheme="minorHAnsi" w:eastAsia="EB Garamond" w:hAnsiTheme="minorHAnsi" w:cs="EB Garamond"/>
        </w:rPr>
        <w:t>Marian Tătaru</w:t>
      </w:r>
    </w:p>
    <w:p w:rsidR="00CE48F5" w:rsidRDefault="00CE48F5" w:rsidP="009A52E1">
      <w:pPr>
        <w:spacing w:after="240"/>
        <w:jc w:val="right"/>
        <w:rPr>
          <w:rFonts w:asciiTheme="minorHAnsi" w:hAnsiTheme="minorHAnsi"/>
          <w:sz w:val="24"/>
          <w:szCs w:val="24"/>
        </w:rPr>
      </w:pPr>
    </w:p>
    <w:p w:rsidR="009A52E1" w:rsidRDefault="009A52E1" w:rsidP="009A52E1">
      <w:pPr>
        <w:spacing w:after="240"/>
        <w:jc w:val="both"/>
        <w:rPr>
          <w:rFonts w:asciiTheme="minorHAnsi" w:hAnsiTheme="minorHAnsi"/>
          <w:sz w:val="24"/>
          <w:szCs w:val="24"/>
        </w:rPr>
      </w:pPr>
    </w:p>
    <w:p w:rsidR="009A52E1" w:rsidRPr="009A52E1" w:rsidRDefault="009A52E1" w:rsidP="009A52E1">
      <w:pPr>
        <w:spacing w:after="240"/>
        <w:jc w:val="both"/>
        <w:rPr>
          <w:rFonts w:asciiTheme="minorHAnsi" w:hAnsiTheme="minorHAnsi"/>
          <w:sz w:val="24"/>
          <w:szCs w:val="24"/>
        </w:rPr>
      </w:pPr>
    </w:p>
    <w:sectPr w:rsidR="009A52E1" w:rsidRPr="009A52E1" w:rsidSect="00B65C78">
      <w:headerReference w:type="default" r:id="rId7"/>
      <w:pgSz w:w="11909" w:h="16834"/>
      <w:pgMar w:top="2692" w:right="1419" w:bottom="1418" w:left="1418" w:header="680"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20F" w:rsidRDefault="00A8720F" w:rsidP="00545895">
      <w:pPr>
        <w:spacing w:line="240" w:lineRule="auto"/>
      </w:pPr>
      <w:r>
        <w:separator/>
      </w:r>
    </w:p>
  </w:endnote>
  <w:endnote w:type="continuationSeparator" w:id="0">
    <w:p w:rsidR="00A8720F" w:rsidRDefault="00A8720F" w:rsidP="005458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20F" w:rsidRDefault="00A8720F" w:rsidP="00545895">
      <w:pPr>
        <w:spacing w:line="240" w:lineRule="auto"/>
      </w:pPr>
      <w:r>
        <w:separator/>
      </w:r>
    </w:p>
  </w:footnote>
  <w:footnote w:type="continuationSeparator" w:id="0">
    <w:p w:rsidR="00A8720F" w:rsidRDefault="00A8720F" w:rsidP="005458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C86" w:rsidRPr="00511719" w:rsidRDefault="00763342">
    <w:pPr>
      <w:pStyle w:val="Normal1"/>
      <w:rPr>
        <w:rFonts w:ascii="Times New Roman" w:hAnsi="Times New Roman" w:cs="Times New Roman"/>
        <w:b/>
        <w:sz w:val="18"/>
        <w:szCs w:val="18"/>
      </w:rPr>
    </w:pPr>
    <w:sdt>
      <w:sdtPr>
        <w:rPr>
          <w:rFonts w:ascii="Times New Roman" w:hAnsi="Times New Roman" w:cs="Times New Roman"/>
          <w:b/>
          <w:sz w:val="18"/>
          <w:szCs w:val="18"/>
        </w:rPr>
        <w:id w:val="736062077"/>
        <w:docPartObj>
          <w:docPartGallery w:val="Page Numbers (Margins)"/>
          <w:docPartUnique/>
        </w:docPartObj>
      </w:sdtPr>
      <w:sdtContent>
        <w:r>
          <w:rPr>
            <w:rFonts w:ascii="Times New Roman" w:hAnsi="Times New Roman" w:cs="Times New Roman"/>
            <w:b/>
            <w:noProof/>
            <w:sz w:val="18"/>
            <w:szCs w:val="18"/>
          </w:rPr>
          <w:pict>
            <v:rect id="Rectangle 1"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rsidR="00481E54" w:rsidRDefault="00481E5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sidR="00763342" w:rsidRPr="00763342">
                      <w:rPr>
                        <w:rFonts w:asciiTheme="minorHAnsi" w:eastAsiaTheme="minorEastAsia" w:hAnsiTheme="minorHAnsi" w:cs="Times New Roman"/>
                      </w:rPr>
                      <w:fldChar w:fldCharType="begin"/>
                    </w:r>
                    <w:r>
                      <w:instrText xml:space="preserve"> PAGE    \* MERGEFORMAT </w:instrText>
                    </w:r>
                    <w:r w:rsidR="00763342" w:rsidRPr="00763342">
                      <w:rPr>
                        <w:rFonts w:asciiTheme="minorHAnsi" w:eastAsiaTheme="minorEastAsia" w:hAnsiTheme="minorHAnsi" w:cs="Times New Roman"/>
                      </w:rPr>
                      <w:fldChar w:fldCharType="separate"/>
                    </w:r>
                    <w:r w:rsidR="009F1EED" w:rsidRPr="009F1EED">
                      <w:rPr>
                        <w:rFonts w:asciiTheme="majorHAnsi" w:eastAsiaTheme="majorEastAsia" w:hAnsiTheme="majorHAnsi" w:cstheme="majorBidi"/>
                        <w:noProof/>
                        <w:sz w:val="44"/>
                        <w:szCs w:val="44"/>
                      </w:rPr>
                      <w:t>2</w:t>
                    </w:r>
                    <w:r w:rsidR="00763342">
                      <w:rPr>
                        <w:rFonts w:asciiTheme="majorHAnsi" w:eastAsiaTheme="majorEastAsia" w:hAnsiTheme="majorHAnsi" w:cstheme="majorBidi"/>
                        <w:noProof/>
                        <w:sz w:val="44"/>
                        <w:szCs w:val="44"/>
                      </w:rPr>
                      <w:fldChar w:fldCharType="end"/>
                    </w:r>
                  </w:p>
                </w:txbxContent>
              </v:textbox>
              <w10:wrap anchorx="margin" anchory="margin"/>
            </v:rect>
          </w:pict>
        </w:r>
      </w:sdtContent>
    </w:sdt>
    <w:r w:rsidR="00B65C78" w:rsidRPr="00511719">
      <w:rPr>
        <w:rFonts w:ascii="Times New Roman" w:hAnsi="Times New Roman" w:cs="Times New Roman"/>
        <w:b/>
        <w:noProof/>
        <w:sz w:val="18"/>
        <w:szCs w:val="18"/>
      </w:rPr>
      <w:drawing>
        <wp:anchor distT="0" distB="0" distL="0" distR="0" simplePos="0" relativeHeight="251664384" behindDoc="0" locked="0" layoutInCell="1" allowOverlap="1">
          <wp:simplePos x="0" y="0"/>
          <wp:positionH relativeFrom="page">
            <wp:posOffset>767080</wp:posOffset>
          </wp:positionH>
          <wp:positionV relativeFrom="page">
            <wp:posOffset>614680</wp:posOffset>
          </wp:positionV>
          <wp:extent cx="586740" cy="769620"/>
          <wp:effectExtent l="0" t="0" r="3810" b="0"/>
          <wp:wrapSquare wrapText="bothSides" distT="0" distB="0" distL="0" distR="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11762" r="12000"/>
                  <a:stretch/>
                </pic:blipFill>
                <pic:spPr bwMode="auto">
                  <a:xfrm>
                    <a:off x="0" y="0"/>
                    <a:ext cx="586740" cy="7696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45895"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rPr>
      <w:t xml:space="preserve">   </w:t>
    </w:r>
    <w:r w:rsidRPr="00E0079F">
      <w:rPr>
        <w:rFonts w:ascii="Times New Roman" w:hAnsi="Times New Roman" w:cs="Times New Roman"/>
        <w:b/>
        <w:sz w:val="18"/>
        <w:szCs w:val="18"/>
      </w:rPr>
      <w:t>ROM</w:t>
    </w:r>
    <w:r w:rsidRPr="00E0079F">
      <w:rPr>
        <w:rFonts w:ascii="Times New Roman" w:hAnsi="Times New Roman" w:cs="Times New Roman"/>
        <w:b/>
        <w:sz w:val="18"/>
        <w:szCs w:val="18"/>
        <w:lang w:val="ro-RO"/>
      </w:rPr>
      <w:t>ÂNIA</w:t>
    </w:r>
  </w:p>
  <w:p w:rsidR="005C4364"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lang w:val="ro-RO"/>
      </w:rPr>
      <w:t xml:space="preserve">   </w:t>
    </w:r>
    <w:r w:rsidRPr="00E0079F">
      <w:rPr>
        <w:rFonts w:ascii="Times New Roman" w:hAnsi="Times New Roman" w:cs="Times New Roman"/>
        <w:b/>
        <w:sz w:val="18"/>
        <w:szCs w:val="18"/>
        <w:lang w:val="ro-RO"/>
      </w:rPr>
      <w:t>JUDEȚUL TIMIȘ</w:t>
    </w:r>
  </w:p>
  <w:p w:rsidR="005C4364"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lang w:val="ro-RO"/>
      </w:rPr>
      <w:t xml:space="preserve">   </w:t>
    </w:r>
    <w:r w:rsidRPr="00E0079F">
      <w:rPr>
        <w:rFonts w:ascii="Times New Roman" w:hAnsi="Times New Roman" w:cs="Times New Roman"/>
        <w:b/>
        <w:sz w:val="18"/>
        <w:szCs w:val="18"/>
        <w:lang w:val="ro-RO"/>
      </w:rPr>
      <w:t>CONSILIUL LOCAL AL MUNICIPIULUI TIMIȘOARA</w:t>
    </w:r>
  </w:p>
  <w:p w:rsidR="005C4364" w:rsidRPr="00E0079F" w:rsidRDefault="00E0079F">
    <w:pPr>
      <w:pStyle w:val="Normal1"/>
      <w:rPr>
        <w:rFonts w:ascii="Times New Roman" w:hAnsi="Times New Roman" w:cs="Times New Roman"/>
        <w:b/>
        <w:sz w:val="18"/>
        <w:szCs w:val="18"/>
        <w:lang w:val="ro-RO"/>
      </w:rPr>
    </w:pPr>
    <w:r>
      <w:rPr>
        <w:rFonts w:ascii="Times New Roman" w:hAnsi="Times New Roman" w:cs="Times New Roman"/>
        <w:b/>
        <w:sz w:val="18"/>
        <w:szCs w:val="18"/>
        <w:lang w:val="ro-RO"/>
      </w:rPr>
      <w:t xml:space="preserve">   </w:t>
    </w:r>
    <w:r w:rsidRPr="00E0079F">
      <w:rPr>
        <w:rFonts w:ascii="Times New Roman" w:hAnsi="Times New Roman" w:cs="Times New Roman"/>
        <w:b/>
        <w:sz w:val="18"/>
        <w:szCs w:val="18"/>
        <w:lang w:val="ro-RO"/>
      </w:rPr>
      <w:t>ADMINISTRAȚIA PENTRU SĂNĂTATE ȘI EDUCAȚIE A MUNICIPIULUI TIMIȘOARA</w:t>
    </w:r>
  </w:p>
  <w:p w:rsidR="00545895" w:rsidRDefault="00E0079F">
    <w:pPr>
      <w:pStyle w:val="Normal1"/>
      <w:rPr>
        <w:rFonts w:ascii="Times New Roman" w:hAnsi="Times New Roman" w:cs="Times New Roman"/>
        <w:sz w:val="18"/>
        <w:szCs w:val="18"/>
      </w:rPr>
    </w:pPr>
    <w:r>
      <w:rPr>
        <w:rFonts w:ascii="Times New Roman" w:hAnsi="Times New Roman" w:cs="Times New Roman"/>
        <w:sz w:val="18"/>
        <w:szCs w:val="18"/>
      </w:rPr>
      <w:t xml:space="preserve">   </w:t>
    </w:r>
    <w:r w:rsidR="002F0B69" w:rsidRPr="00511719">
      <w:rPr>
        <w:rFonts w:ascii="Times New Roman" w:hAnsi="Times New Roman" w:cs="Times New Roman"/>
        <w:sz w:val="18"/>
        <w:szCs w:val="18"/>
      </w:rPr>
      <w:t>Bd. C.D. Loga nr. 1, Timișoara, România</w:t>
    </w:r>
    <w:r>
      <w:rPr>
        <w:rFonts w:ascii="Times New Roman" w:hAnsi="Times New Roman" w:cs="Times New Roman"/>
        <w:sz w:val="18"/>
        <w:szCs w:val="18"/>
      </w:rPr>
      <w:t xml:space="preserve">, </w:t>
    </w:r>
    <w:r w:rsidR="00FC4089" w:rsidRPr="00511719">
      <w:rPr>
        <w:rFonts w:ascii="Times New Roman" w:hAnsi="Times New Roman" w:cs="Times New Roman"/>
        <w:sz w:val="18"/>
        <w:szCs w:val="18"/>
      </w:rPr>
      <w:t>+40256-408.300</w:t>
    </w:r>
  </w:p>
  <w:p w:rsidR="006B0767" w:rsidRDefault="006B0767">
    <w:pPr>
      <w:pStyle w:val="Normal1"/>
      <w:rPr>
        <w:rFonts w:ascii="Times New Roman" w:hAnsi="Times New Roman" w:cs="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6D55"/>
    <w:multiLevelType w:val="multilevel"/>
    <w:tmpl w:val="EE62D8E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06228C"/>
    <w:multiLevelType w:val="hybridMultilevel"/>
    <w:tmpl w:val="056E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20135"/>
    <w:multiLevelType w:val="hybridMultilevel"/>
    <w:tmpl w:val="3EAA4904"/>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CC01726"/>
    <w:multiLevelType w:val="hybridMultilevel"/>
    <w:tmpl w:val="A34C0FB0"/>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F276070"/>
    <w:multiLevelType w:val="hybridMultilevel"/>
    <w:tmpl w:val="F70E8A54"/>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2862379"/>
    <w:multiLevelType w:val="multilevel"/>
    <w:tmpl w:val="0D0E0F8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A036D5C"/>
    <w:multiLevelType w:val="hybridMultilevel"/>
    <w:tmpl w:val="401A84C6"/>
    <w:lvl w:ilvl="0" w:tplc="39EEBEDA">
      <w:start w:val="1"/>
      <w:numFmt w:val="upperLetter"/>
      <w:lvlText w:val="%1."/>
      <w:lvlJc w:val="left"/>
      <w:pPr>
        <w:ind w:left="720" w:hanging="360"/>
      </w:pPr>
      <w:rPr>
        <w:rFonts w:hint="default"/>
        <w:i/>
        <w:iCs/>
        <w:color w:val="00B0F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D085838"/>
    <w:multiLevelType w:val="hybridMultilevel"/>
    <w:tmpl w:val="8C2A9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F7F648E"/>
    <w:multiLevelType w:val="hybridMultilevel"/>
    <w:tmpl w:val="EA06A10C"/>
    <w:lvl w:ilvl="0" w:tplc="04180005">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36CD0C95"/>
    <w:multiLevelType w:val="hybridMultilevel"/>
    <w:tmpl w:val="BC2C56E4"/>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920B40"/>
    <w:multiLevelType w:val="hybridMultilevel"/>
    <w:tmpl w:val="F4923AD6"/>
    <w:lvl w:ilvl="0" w:tplc="01BA99D4">
      <w:start w:val="19"/>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404E3C4A"/>
    <w:multiLevelType w:val="hybridMultilevel"/>
    <w:tmpl w:val="0B8C59A0"/>
    <w:lvl w:ilvl="0" w:tplc="718EE0EA">
      <w:start w:val="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nsid w:val="40D862B1"/>
    <w:multiLevelType w:val="hybridMultilevel"/>
    <w:tmpl w:val="CCD6DB7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2474E89"/>
    <w:multiLevelType w:val="multilevel"/>
    <w:tmpl w:val="426450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47024CF7"/>
    <w:multiLevelType w:val="hybridMultilevel"/>
    <w:tmpl w:val="A96E5A10"/>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15">
    <w:nsid w:val="4AE612A8"/>
    <w:multiLevelType w:val="hybridMultilevel"/>
    <w:tmpl w:val="CECE46B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nsid w:val="511C6DB6"/>
    <w:multiLevelType w:val="multilevel"/>
    <w:tmpl w:val="DA324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16717E5"/>
    <w:multiLevelType w:val="hybridMultilevel"/>
    <w:tmpl w:val="976698E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D27622D"/>
    <w:multiLevelType w:val="multilevel"/>
    <w:tmpl w:val="29C855B0"/>
    <w:lvl w:ilvl="0">
      <w:start w:val="2"/>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nsid w:val="5FA344C6"/>
    <w:multiLevelType w:val="hybridMultilevel"/>
    <w:tmpl w:val="31F85FD0"/>
    <w:lvl w:ilvl="0" w:tplc="04180017">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F01C69"/>
    <w:multiLevelType w:val="hybridMultilevel"/>
    <w:tmpl w:val="2E98C592"/>
    <w:lvl w:ilvl="0" w:tplc="04090001">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21">
    <w:nsid w:val="661F7146"/>
    <w:multiLevelType w:val="hybridMultilevel"/>
    <w:tmpl w:val="36C21016"/>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78B030A"/>
    <w:multiLevelType w:val="hybridMultilevel"/>
    <w:tmpl w:val="7DD2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FE2BFA"/>
    <w:multiLevelType w:val="hybridMultilevel"/>
    <w:tmpl w:val="70806122"/>
    <w:lvl w:ilvl="0" w:tplc="45DED582">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E2E3566"/>
    <w:multiLevelType w:val="multilevel"/>
    <w:tmpl w:val="926E32E0"/>
    <w:lvl w:ilvl="0">
      <w:start w:val="2"/>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nsid w:val="70222036"/>
    <w:multiLevelType w:val="hybridMultilevel"/>
    <w:tmpl w:val="F8CC600E"/>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0A07DD7"/>
    <w:multiLevelType w:val="hybridMultilevel"/>
    <w:tmpl w:val="C6BE1E78"/>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1046FA0"/>
    <w:multiLevelType w:val="hybridMultilevel"/>
    <w:tmpl w:val="20A484E8"/>
    <w:lvl w:ilvl="0" w:tplc="E56873C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74C0025"/>
    <w:multiLevelType w:val="hybridMultilevel"/>
    <w:tmpl w:val="5CC43CA2"/>
    <w:lvl w:ilvl="0" w:tplc="E996A8E8">
      <w:start w:val="7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0"/>
  </w:num>
  <w:num w:numId="4">
    <w:abstractNumId w:val="22"/>
  </w:num>
  <w:num w:numId="5">
    <w:abstractNumId w:val="15"/>
  </w:num>
  <w:num w:numId="6">
    <w:abstractNumId w:val="1"/>
  </w:num>
  <w:num w:numId="7">
    <w:abstractNumId w:val="10"/>
  </w:num>
  <w:num w:numId="8">
    <w:abstractNumId w:val="7"/>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18"/>
  </w:num>
  <w:num w:numId="14">
    <w:abstractNumId w:val="24"/>
  </w:num>
  <w:num w:numId="15">
    <w:abstractNumId w:val="5"/>
  </w:num>
  <w:num w:numId="16">
    <w:abstractNumId w:val="13"/>
  </w:num>
  <w:num w:numId="17">
    <w:abstractNumId w:val="0"/>
  </w:num>
  <w:num w:numId="18">
    <w:abstractNumId w:val="27"/>
  </w:num>
  <w:num w:numId="19">
    <w:abstractNumId w:val="9"/>
  </w:num>
  <w:num w:numId="20">
    <w:abstractNumId w:val="6"/>
  </w:num>
  <w:num w:numId="21">
    <w:abstractNumId w:val="8"/>
  </w:num>
  <w:num w:numId="22">
    <w:abstractNumId w:val="26"/>
  </w:num>
  <w:num w:numId="23">
    <w:abstractNumId w:val="28"/>
  </w:num>
  <w:num w:numId="24">
    <w:abstractNumId w:val="21"/>
  </w:num>
  <w:num w:numId="25">
    <w:abstractNumId w:val="4"/>
  </w:num>
  <w:num w:numId="26">
    <w:abstractNumId w:val="25"/>
  </w:num>
  <w:num w:numId="27">
    <w:abstractNumId w:val="23"/>
  </w:num>
  <w:num w:numId="28">
    <w:abstractNumId w:val="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45895"/>
    <w:rsid w:val="000071F6"/>
    <w:rsid w:val="00011D8D"/>
    <w:rsid w:val="00012E61"/>
    <w:rsid w:val="00015AE8"/>
    <w:rsid w:val="0002234C"/>
    <w:rsid w:val="0002401C"/>
    <w:rsid w:val="000320F5"/>
    <w:rsid w:val="0003241A"/>
    <w:rsid w:val="000479F8"/>
    <w:rsid w:val="00057C25"/>
    <w:rsid w:val="00067F50"/>
    <w:rsid w:val="00073D1A"/>
    <w:rsid w:val="00077079"/>
    <w:rsid w:val="00085A3C"/>
    <w:rsid w:val="000867B2"/>
    <w:rsid w:val="000A04EA"/>
    <w:rsid w:val="000A05FB"/>
    <w:rsid w:val="000A60B5"/>
    <w:rsid w:val="000B7C76"/>
    <w:rsid w:val="000C3DBF"/>
    <w:rsid w:val="000C45EC"/>
    <w:rsid w:val="000C5A0F"/>
    <w:rsid w:val="000D655E"/>
    <w:rsid w:val="000D6D0C"/>
    <w:rsid w:val="000E74D3"/>
    <w:rsid w:val="00106E78"/>
    <w:rsid w:val="00110351"/>
    <w:rsid w:val="00111ADA"/>
    <w:rsid w:val="00130A3B"/>
    <w:rsid w:val="00131F82"/>
    <w:rsid w:val="00142E59"/>
    <w:rsid w:val="00143D13"/>
    <w:rsid w:val="00176645"/>
    <w:rsid w:val="0019456E"/>
    <w:rsid w:val="0019655E"/>
    <w:rsid w:val="001967BA"/>
    <w:rsid w:val="001A5843"/>
    <w:rsid w:val="001B104E"/>
    <w:rsid w:val="001B26F9"/>
    <w:rsid w:val="001C750C"/>
    <w:rsid w:val="001D04BD"/>
    <w:rsid w:val="001D64DB"/>
    <w:rsid w:val="001E7479"/>
    <w:rsid w:val="00206F0E"/>
    <w:rsid w:val="002110B6"/>
    <w:rsid w:val="00225690"/>
    <w:rsid w:val="0023103D"/>
    <w:rsid w:val="0023244F"/>
    <w:rsid w:val="00232600"/>
    <w:rsid w:val="00253C64"/>
    <w:rsid w:val="00256271"/>
    <w:rsid w:val="00261D72"/>
    <w:rsid w:val="002645E8"/>
    <w:rsid w:val="00274C15"/>
    <w:rsid w:val="0027518A"/>
    <w:rsid w:val="00286ED6"/>
    <w:rsid w:val="00293D2B"/>
    <w:rsid w:val="00294653"/>
    <w:rsid w:val="002978DE"/>
    <w:rsid w:val="002A0726"/>
    <w:rsid w:val="002A081B"/>
    <w:rsid w:val="002D675E"/>
    <w:rsid w:val="002E58AD"/>
    <w:rsid w:val="002F0B69"/>
    <w:rsid w:val="002F336C"/>
    <w:rsid w:val="00300019"/>
    <w:rsid w:val="00300955"/>
    <w:rsid w:val="003064C3"/>
    <w:rsid w:val="00322948"/>
    <w:rsid w:val="003268E1"/>
    <w:rsid w:val="0034042B"/>
    <w:rsid w:val="00340D6F"/>
    <w:rsid w:val="00346487"/>
    <w:rsid w:val="00354BC3"/>
    <w:rsid w:val="00373C8C"/>
    <w:rsid w:val="0038621B"/>
    <w:rsid w:val="00391276"/>
    <w:rsid w:val="003A4B8D"/>
    <w:rsid w:val="003A69F2"/>
    <w:rsid w:val="003A77B1"/>
    <w:rsid w:val="003B2F1F"/>
    <w:rsid w:val="003D04F5"/>
    <w:rsid w:val="003D2D37"/>
    <w:rsid w:val="003E0AD0"/>
    <w:rsid w:val="003E609D"/>
    <w:rsid w:val="003F0C8B"/>
    <w:rsid w:val="003F195D"/>
    <w:rsid w:val="003F3ADD"/>
    <w:rsid w:val="003F3B16"/>
    <w:rsid w:val="003F4D19"/>
    <w:rsid w:val="004275DD"/>
    <w:rsid w:val="004279CE"/>
    <w:rsid w:val="0043509E"/>
    <w:rsid w:val="004449B0"/>
    <w:rsid w:val="00444B83"/>
    <w:rsid w:val="00455C2F"/>
    <w:rsid w:val="00455D9B"/>
    <w:rsid w:val="00470509"/>
    <w:rsid w:val="004735B4"/>
    <w:rsid w:val="00475FA4"/>
    <w:rsid w:val="004765B8"/>
    <w:rsid w:val="00481E54"/>
    <w:rsid w:val="0049785F"/>
    <w:rsid w:val="004C5F34"/>
    <w:rsid w:val="004C7CD2"/>
    <w:rsid w:val="004D27A3"/>
    <w:rsid w:val="004D74B2"/>
    <w:rsid w:val="004E7631"/>
    <w:rsid w:val="004F6794"/>
    <w:rsid w:val="004F7ECA"/>
    <w:rsid w:val="00511719"/>
    <w:rsid w:val="00511C76"/>
    <w:rsid w:val="005204C0"/>
    <w:rsid w:val="00521A9A"/>
    <w:rsid w:val="00534213"/>
    <w:rsid w:val="00545895"/>
    <w:rsid w:val="00546C81"/>
    <w:rsid w:val="0056242D"/>
    <w:rsid w:val="00577DFE"/>
    <w:rsid w:val="00584E58"/>
    <w:rsid w:val="00592DF8"/>
    <w:rsid w:val="00597C04"/>
    <w:rsid w:val="005B0E8B"/>
    <w:rsid w:val="005B5AA1"/>
    <w:rsid w:val="005B664F"/>
    <w:rsid w:val="005C40E8"/>
    <w:rsid w:val="005C4364"/>
    <w:rsid w:val="005C4F94"/>
    <w:rsid w:val="005D71D8"/>
    <w:rsid w:val="005E0274"/>
    <w:rsid w:val="005E5BAE"/>
    <w:rsid w:val="005F2977"/>
    <w:rsid w:val="00602254"/>
    <w:rsid w:val="006035B7"/>
    <w:rsid w:val="00604E82"/>
    <w:rsid w:val="0060628B"/>
    <w:rsid w:val="00622A69"/>
    <w:rsid w:val="00622A7B"/>
    <w:rsid w:val="00625892"/>
    <w:rsid w:val="00627478"/>
    <w:rsid w:val="00631904"/>
    <w:rsid w:val="006441FA"/>
    <w:rsid w:val="00651EE0"/>
    <w:rsid w:val="00663961"/>
    <w:rsid w:val="00677572"/>
    <w:rsid w:val="00680DDB"/>
    <w:rsid w:val="00685353"/>
    <w:rsid w:val="0068557E"/>
    <w:rsid w:val="0069159E"/>
    <w:rsid w:val="006A7921"/>
    <w:rsid w:val="006B0767"/>
    <w:rsid w:val="006B3272"/>
    <w:rsid w:val="006C070B"/>
    <w:rsid w:val="006C07DB"/>
    <w:rsid w:val="006C1907"/>
    <w:rsid w:val="006D310C"/>
    <w:rsid w:val="006D5841"/>
    <w:rsid w:val="0070041D"/>
    <w:rsid w:val="00700B86"/>
    <w:rsid w:val="007015B2"/>
    <w:rsid w:val="00702679"/>
    <w:rsid w:val="007123C5"/>
    <w:rsid w:val="0071327D"/>
    <w:rsid w:val="00714DFE"/>
    <w:rsid w:val="00717883"/>
    <w:rsid w:val="00722BBE"/>
    <w:rsid w:val="0072517B"/>
    <w:rsid w:val="00733352"/>
    <w:rsid w:val="007407AD"/>
    <w:rsid w:val="0075209D"/>
    <w:rsid w:val="0075625F"/>
    <w:rsid w:val="00763342"/>
    <w:rsid w:val="007755D4"/>
    <w:rsid w:val="007807D8"/>
    <w:rsid w:val="00786F2F"/>
    <w:rsid w:val="00791672"/>
    <w:rsid w:val="007B1E71"/>
    <w:rsid w:val="007B6BC1"/>
    <w:rsid w:val="007C09A3"/>
    <w:rsid w:val="007C5988"/>
    <w:rsid w:val="007D21A9"/>
    <w:rsid w:val="007D580A"/>
    <w:rsid w:val="007E2D15"/>
    <w:rsid w:val="00800EFA"/>
    <w:rsid w:val="008013B4"/>
    <w:rsid w:val="00811D0A"/>
    <w:rsid w:val="00815A7E"/>
    <w:rsid w:val="00817D27"/>
    <w:rsid w:val="00820C07"/>
    <w:rsid w:val="00827169"/>
    <w:rsid w:val="00830E1F"/>
    <w:rsid w:val="0083127F"/>
    <w:rsid w:val="008319AE"/>
    <w:rsid w:val="00833FBF"/>
    <w:rsid w:val="008414D2"/>
    <w:rsid w:val="0084192B"/>
    <w:rsid w:val="008443FB"/>
    <w:rsid w:val="00855BE0"/>
    <w:rsid w:val="00856BF6"/>
    <w:rsid w:val="008A5BEA"/>
    <w:rsid w:val="008A749E"/>
    <w:rsid w:val="008B031B"/>
    <w:rsid w:val="008E3794"/>
    <w:rsid w:val="008F148A"/>
    <w:rsid w:val="00901925"/>
    <w:rsid w:val="00905B60"/>
    <w:rsid w:val="00907106"/>
    <w:rsid w:val="009115A0"/>
    <w:rsid w:val="00911DFF"/>
    <w:rsid w:val="009147AC"/>
    <w:rsid w:val="00933876"/>
    <w:rsid w:val="00942AA3"/>
    <w:rsid w:val="00945AE8"/>
    <w:rsid w:val="00952703"/>
    <w:rsid w:val="00960A84"/>
    <w:rsid w:val="00961BE5"/>
    <w:rsid w:val="0096434A"/>
    <w:rsid w:val="00976B8D"/>
    <w:rsid w:val="00980381"/>
    <w:rsid w:val="00994BB6"/>
    <w:rsid w:val="009A01A5"/>
    <w:rsid w:val="009A52E1"/>
    <w:rsid w:val="009E0296"/>
    <w:rsid w:val="009E6CEC"/>
    <w:rsid w:val="009F1EED"/>
    <w:rsid w:val="009F627A"/>
    <w:rsid w:val="00A010DC"/>
    <w:rsid w:val="00A11A36"/>
    <w:rsid w:val="00A207B5"/>
    <w:rsid w:val="00A305BA"/>
    <w:rsid w:val="00A353E1"/>
    <w:rsid w:val="00A421CF"/>
    <w:rsid w:val="00A607AB"/>
    <w:rsid w:val="00A701CE"/>
    <w:rsid w:val="00A72B06"/>
    <w:rsid w:val="00A72B0B"/>
    <w:rsid w:val="00A72CDB"/>
    <w:rsid w:val="00A81959"/>
    <w:rsid w:val="00A836E9"/>
    <w:rsid w:val="00A8720F"/>
    <w:rsid w:val="00A87E51"/>
    <w:rsid w:val="00A933DB"/>
    <w:rsid w:val="00AA3B4A"/>
    <w:rsid w:val="00AB1410"/>
    <w:rsid w:val="00AB3AAF"/>
    <w:rsid w:val="00AC423A"/>
    <w:rsid w:val="00AC51DC"/>
    <w:rsid w:val="00AD3881"/>
    <w:rsid w:val="00AE070F"/>
    <w:rsid w:val="00AE2EDF"/>
    <w:rsid w:val="00B01955"/>
    <w:rsid w:val="00B0727F"/>
    <w:rsid w:val="00B0738B"/>
    <w:rsid w:val="00B21716"/>
    <w:rsid w:val="00B378C7"/>
    <w:rsid w:val="00B438BD"/>
    <w:rsid w:val="00B5229D"/>
    <w:rsid w:val="00B65C78"/>
    <w:rsid w:val="00B72D2F"/>
    <w:rsid w:val="00B769C7"/>
    <w:rsid w:val="00B7744D"/>
    <w:rsid w:val="00BA47B2"/>
    <w:rsid w:val="00BA4BB8"/>
    <w:rsid w:val="00BA5B1E"/>
    <w:rsid w:val="00BB1840"/>
    <w:rsid w:val="00BB772C"/>
    <w:rsid w:val="00BC556F"/>
    <w:rsid w:val="00BD06E1"/>
    <w:rsid w:val="00BD7960"/>
    <w:rsid w:val="00BF0390"/>
    <w:rsid w:val="00BF2A17"/>
    <w:rsid w:val="00BF6A4B"/>
    <w:rsid w:val="00C02824"/>
    <w:rsid w:val="00C04528"/>
    <w:rsid w:val="00C05278"/>
    <w:rsid w:val="00C078DA"/>
    <w:rsid w:val="00C1566F"/>
    <w:rsid w:val="00C24364"/>
    <w:rsid w:val="00C3425D"/>
    <w:rsid w:val="00C426EA"/>
    <w:rsid w:val="00C42AF9"/>
    <w:rsid w:val="00C45F3F"/>
    <w:rsid w:val="00C47AC0"/>
    <w:rsid w:val="00C53233"/>
    <w:rsid w:val="00C66A52"/>
    <w:rsid w:val="00C7030A"/>
    <w:rsid w:val="00C84FA0"/>
    <w:rsid w:val="00C9773C"/>
    <w:rsid w:val="00CB401A"/>
    <w:rsid w:val="00CB4ECE"/>
    <w:rsid w:val="00CB6B36"/>
    <w:rsid w:val="00CB74AD"/>
    <w:rsid w:val="00CC2F56"/>
    <w:rsid w:val="00CD627C"/>
    <w:rsid w:val="00CE0BF4"/>
    <w:rsid w:val="00CE48F5"/>
    <w:rsid w:val="00CF3E72"/>
    <w:rsid w:val="00D04B1B"/>
    <w:rsid w:val="00D059CC"/>
    <w:rsid w:val="00D14780"/>
    <w:rsid w:val="00D1560D"/>
    <w:rsid w:val="00D216B9"/>
    <w:rsid w:val="00D63F73"/>
    <w:rsid w:val="00D76667"/>
    <w:rsid w:val="00D8196D"/>
    <w:rsid w:val="00DA2D84"/>
    <w:rsid w:val="00DA5E5E"/>
    <w:rsid w:val="00DA7C30"/>
    <w:rsid w:val="00DB257F"/>
    <w:rsid w:val="00DB2AF8"/>
    <w:rsid w:val="00DC413E"/>
    <w:rsid w:val="00DC7E1D"/>
    <w:rsid w:val="00DD5E87"/>
    <w:rsid w:val="00DE0A77"/>
    <w:rsid w:val="00DE19F1"/>
    <w:rsid w:val="00DE5F6B"/>
    <w:rsid w:val="00DE6FDD"/>
    <w:rsid w:val="00E0079F"/>
    <w:rsid w:val="00E12B7A"/>
    <w:rsid w:val="00E17D44"/>
    <w:rsid w:val="00E32904"/>
    <w:rsid w:val="00E34A05"/>
    <w:rsid w:val="00E504C1"/>
    <w:rsid w:val="00E56DBD"/>
    <w:rsid w:val="00E647F3"/>
    <w:rsid w:val="00E704A8"/>
    <w:rsid w:val="00E73642"/>
    <w:rsid w:val="00E8489F"/>
    <w:rsid w:val="00E85ECB"/>
    <w:rsid w:val="00E91FA6"/>
    <w:rsid w:val="00EC4175"/>
    <w:rsid w:val="00EC5B07"/>
    <w:rsid w:val="00ED6FBC"/>
    <w:rsid w:val="00EE10C1"/>
    <w:rsid w:val="00F12A71"/>
    <w:rsid w:val="00F20A85"/>
    <w:rsid w:val="00F21720"/>
    <w:rsid w:val="00F25765"/>
    <w:rsid w:val="00F54B26"/>
    <w:rsid w:val="00F56151"/>
    <w:rsid w:val="00F56D72"/>
    <w:rsid w:val="00F61B31"/>
    <w:rsid w:val="00F63C86"/>
    <w:rsid w:val="00F77096"/>
    <w:rsid w:val="00F8375D"/>
    <w:rsid w:val="00F8523A"/>
    <w:rsid w:val="00F878E9"/>
    <w:rsid w:val="00F90A6F"/>
    <w:rsid w:val="00F91825"/>
    <w:rsid w:val="00FA7255"/>
    <w:rsid w:val="00FB4C10"/>
    <w:rsid w:val="00FB7B1D"/>
    <w:rsid w:val="00FC4089"/>
    <w:rsid w:val="00FC4749"/>
    <w:rsid w:val="00FD0069"/>
    <w:rsid w:val="00FE6B44"/>
    <w:rsid w:val="00FF2B51"/>
    <w:rsid w:val="00FF4154"/>
    <w:rsid w:val="00FF61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7F"/>
  </w:style>
  <w:style w:type="paragraph" w:styleId="Heading1">
    <w:name w:val="heading 1"/>
    <w:basedOn w:val="Normal1"/>
    <w:next w:val="Normal1"/>
    <w:rsid w:val="00545895"/>
    <w:pPr>
      <w:keepNext/>
      <w:keepLines/>
      <w:spacing w:before="400" w:after="120"/>
      <w:outlineLvl w:val="0"/>
    </w:pPr>
    <w:rPr>
      <w:sz w:val="40"/>
      <w:szCs w:val="40"/>
    </w:rPr>
  </w:style>
  <w:style w:type="paragraph" w:styleId="Heading2">
    <w:name w:val="heading 2"/>
    <w:basedOn w:val="Normal1"/>
    <w:next w:val="Normal1"/>
    <w:rsid w:val="00545895"/>
    <w:pPr>
      <w:keepNext/>
      <w:keepLines/>
      <w:spacing w:before="360" w:after="120"/>
      <w:outlineLvl w:val="1"/>
    </w:pPr>
    <w:rPr>
      <w:sz w:val="32"/>
      <w:szCs w:val="32"/>
    </w:rPr>
  </w:style>
  <w:style w:type="paragraph" w:styleId="Heading3">
    <w:name w:val="heading 3"/>
    <w:basedOn w:val="Normal1"/>
    <w:next w:val="Normal1"/>
    <w:rsid w:val="00545895"/>
    <w:pPr>
      <w:keepNext/>
      <w:keepLines/>
      <w:spacing w:before="320" w:after="80"/>
      <w:outlineLvl w:val="2"/>
    </w:pPr>
    <w:rPr>
      <w:color w:val="434343"/>
      <w:sz w:val="28"/>
      <w:szCs w:val="28"/>
    </w:rPr>
  </w:style>
  <w:style w:type="paragraph" w:styleId="Heading4">
    <w:name w:val="heading 4"/>
    <w:basedOn w:val="Normal1"/>
    <w:next w:val="Normal1"/>
    <w:rsid w:val="00545895"/>
    <w:pPr>
      <w:keepNext/>
      <w:keepLines/>
      <w:spacing w:before="280" w:after="80"/>
      <w:outlineLvl w:val="3"/>
    </w:pPr>
    <w:rPr>
      <w:color w:val="666666"/>
      <w:sz w:val="24"/>
      <w:szCs w:val="24"/>
    </w:rPr>
  </w:style>
  <w:style w:type="paragraph" w:styleId="Heading5">
    <w:name w:val="heading 5"/>
    <w:basedOn w:val="Normal1"/>
    <w:next w:val="Normal1"/>
    <w:rsid w:val="00545895"/>
    <w:pPr>
      <w:keepNext/>
      <w:keepLines/>
      <w:spacing w:before="240" w:after="80"/>
      <w:outlineLvl w:val="4"/>
    </w:pPr>
    <w:rPr>
      <w:color w:val="666666"/>
    </w:rPr>
  </w:style>
  <w:style w:type="paragraph" w:styleId="Heading6">
    <w:name w:val="heading 6"/>
    <w:basedOn w:val="Normal1"/>
    <w:next w:val="Normal1"/>
    <w:rsid w:val="0054589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45895"/>
  </w:style>
  <w:style w:type="paragraph" w:styleId="Title">
    <w:name w:val="Title"/>
    <w:basedOn w:val="Normal1"/>
    <w:next w:val="Normal1"/>
    <w:rsid w:val="00545895"/>
    <w:pPr>
      <w:keepNext/>
      <w:keepLines/>
      <w:spacing w:after="60"/>
    </w:pPr>
    <w:rPr>
      <w:sz w:val="52"/>
      <w:szCs w:val="52"/>
    </w:rPr>
  </w:style>
  <w:style w:type="paragraph" w:styleId="Subtitle">
    <w:name w:val="Subtitle"/>
    <w:basedOn w:val="Normal1"/>
    <w:next w:val="Normal1"/>
    <w:rsid w:val="00545895"/>
    <w:pPr>
      <w:keepNext/>
      <w:keepLines/>
      <w:spacing w:after="320"/>
    </w:pPr>
    <w:rPr>
      <w:color w:val="666666"/>
      <w:sz w:val="30"/>
      <w:szCs w:val="30"/>
    </w:rPr>
  </w:style>
  <w:style w:type="paragraph" w:styleId="Header">
    <w:name w:val="header"/>
    <w:basedOn w:val="Normal"/>
    <w:link w:val="HeaderChar"/>
    <w:uiPriority w:val="99"/>
    <w:unhideWhenUsed/>
    <w:rsid w:val="00FC4089"/>
    <w:pPr>
      <w:tabs>
        <w:tab w:val="center" w:pos="4680"/>
        <w:tab w:val="right" w:pos="9360"/>
      </w:tabs>
      <w:spacing w:line="240" w:lineRule="auto"/>
    </w:pPr>
  </w:style>
  <w:style w:type="character" w:customStyle="1" w:styleId="HeaderChar">
    <w:name w:val="Header Char"/>
    <w:basedOn w:val="DefaultParagraphFont"/>
    <w:link w:val="Header"/>
    <w:uiPriority w:val="99"/>
    <w:rsid w:val="00FC4089"/>
  </w:style>
  <w:style w:type="paragraph" w:styleId="Footer">
    <w:name w:val="footer"/>
    <w:basedOn w:val="Normal"/>
    <w:link w:val="FooterChar"/>
    <w:uiPriority w:val="99"/>
    <w:unhideWhenUsed/>
    <w:rsid w:val="00FC4089"/>
    <w:pPr>
      <w:tabs>
        <w:tab w:val="center" w:pos="4680"/>
        <w:tab w:val="right" w:pos="9360"/>
      </w:tabs>
      <w:spacing w:line="240" w:lineRule="auto"/>
    </w:pPr>
  </w:style>
  <w:style w:type="character" w:customStyle="1" w:styleId="FooterChar">
    <w:name w:val="Footer Char"/>
    <w:basedOn w:val="DefaultParagraphFont"/>
    <w:link w:val="Footer"/>
    <w:uiPriority w:val="99"/>
    <w:rsid w:val="00FC4089"/>
  </w:style>
  <w:style w:type="character" w:customStyle="1" w:styleId="apple-converted-space">
    <w:name w:val="apple-converted-space"/>
    <w:basedOn w:val="DefaultParagraphFont"/>
    <w:rsid w:val="00C9773C"/>
  </w:style>
  <w:style w:type="paragraph" w:styleId="NoSpacing">
    <w:name w:val="No Spacing"/>
    <w:uiPriority w:val="99"/>
    <w:qFormat/>
    <w:rsid w:val="00C9773C"/>
    <w:pPr>
      <w:spacing w:line="240" w:lineRule="auto"/>
    </w:pPr>
    <w:rPr>
      <w:rFonts w:ascii="Calibri" w:eastAsia="Times New Roman" w:hAnsi="Calibri" w:cs="Times New Roman"/>
    </w:rPr>
  </w:style>
  <w:style w:type="paragraph" w:styleId="ListParagraph">
    <w:name w:val="List Paragraph"/>
    <w:aliases w:val="Akapit z listą BS,Outlines a.b.c.,List_Paragraph,Multilevel para_II,Akapit z lista BS,List Paragraph1,Normal bullet 2,lp11,Bullet list,Colorful List - Accent 11,Forth level,List1,body 2,Listă paragraf,List Paragraph11,Bullet,Citation List"/>
    <w:basedOn w:val="Normal"/>
    <w:link w:val="ListParagraphChar"/>
    <w:uiPriority w:val="34"/>
    <w:qFormat/>
    <w:rsid w:val="002D675E"/>
    <w:pPr>
      <w:spacing w:line="240" w:lineRule="auto"/>
      <w:ind w:left="720"/>
      <w:contextualSpacing/>
    </w:pPr>
    <w:rPr>
      <w:rFonts w:ascii="Times New Roman" w:eastAsia="Times New Roman" w:hAnsi="Times New Roman" w:cs="Times New Roman"/>
      <w:sz w:val="24"/>
      <w:szCs w:val="24"/>
      <w:lang w:val="ro-RO"/>
    </w:rPr>
  </w:style>
  <w:style w:type="character" w:styleId="Emphasis">
    <w:name w:val="Emphasis"/>
    <w:basedOn w:val="DefaultParagraphFont"/>
    <w:uiPriority w:val="20"/>
    <w:qFormat/>
    <w:rsid w:val="002D675E"/>
    <w:rPr>
      <w:i/>
      <w:iCs/>
    </w:rPr>
  </w:style>
  <w:style w:type="character" w:customStyle="1" w:styleId="ListParagraphChar">
    <w:name w:val="List Paragraph Char"/>
    <w:aliases w:val="Akapit z listą BS Char,Outlines a.b.c. Char,List_Paragraph Char,Multilevel para_II Char,Akapit z lista BS Char,List Paragraph1 Char,Normal bullet 2 Char,lp11 Char,Bullet list Char,Colorful List - Accent 11 Char,Forth level Char"/>
    <w:link w:val="ListParagraph"/>
    <w:uiPriority w:val="34"/>
    <w:qFormat/>
    <w:locked/>
    <w:rsid w:val="002D675E"/>
    <w:rPr>
      <w:rFonts w:ascii="Times New Roman" w:eastAsia="Times New Roman" w:hAnsi="Times New Roman" w:cs="Times New Roman"/>
      <w:sz w:val="24"/>
      <w:szCs w:val="24"/>
      <w:lang w:val="ro-RO"/>
    </w:rPr>
  </w:style>
  <w:style w:type="character" w:styleId="SubtleEmphasis">
    <w:name w:val="Subtle Emphasis"/>
    <w:uiPriority w:val="19"/>
    <w:qFormat/>
    <w:rsid w:val="002D675E"/>
    <w:rPr>
      <w:i/>
      <w:iCs/>
      <w:color w:val="808080"/>
    </w:rPr>
  </w:style>
  <w:style w:type="paragraph" w:styleId="BalloonText">
    <w:name w:val="Balloon Text"/>
    <w:basedOn w:val="Normal"/>
    <w:link w:val="BalloonTextChar"/>
    <w:uiPriority w:val="99"/>
    <w:semiHidden/>
    <w:unhideWhenUsed/>
    <w:rsid w:val="002D6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75E"/>
    <w:rPr>
      <w:rFonts w:ascii="Tahoma" w:hAnsi="Tahoma" w:cs="Tahoma"/>
      <w:sz w:val="16"/>
      <w:szCs w:val="16"/>
    </w:rPr>
  </w:style>
  <w:style w:type="character" w:styleId="Hyperlink">
    <w:name w:val="Hyperlink"/>
    <w:basedOn w:val="DefaultParagraphFont"/>
    <w:uiPriority w:val="99"/>
    <w:unhideWhenUsed/>
    <w:rsid w:val="00FF61A5"/>
    <w:rPr>
      <w:color w:val="0000FF"/>
      <w:u w:val="single"/>
    </w:rPr>
  </w:style>
  <w:style w:type="paragraph" w:styleId="NormalWeb">
    <w:name w:val="Normal (Web)"/>
    <w:basedOn w:val="Normal"/>
    <w:uiPriority w:val="99"/>
    <w:semiHidden/>
    <w:unhideWhenUsed/>
    <w:rsid w:val="00AD388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68557E"/>
    <w:pPr>
      <w:spacing w:line="240" w:lineRule="auto"/>
    </w:pPr>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DefaultParagraphFont"/>
    <w:rsid w:val="005204C0"/>
    <w:rPr>
      <w:rFonts w:ascii="Segoe UI" w:hAnsi="Segoe UI" w:cs="Segoe UI" w:hint="default"/>
      <w:shd w:val="clear" w:color="auto" w:fill="FFFFFF"/>
    </w:rPr>
  </w:style>
  <w:style w:type="character" w:customStyle="1" w:styleId="cf21">
    <w:name w:val="cf21"/>
    <w:basedOn w:val="DefaultParagraphFont"/>
    <w:rsid w:val="005204C0"/>
    <w:rPr>
      <w:rFonts w:ascii="Segoe UI" w:hAnsi="Segoe UI" w:cs="Segoe UI" w:hint="default"/>
      <w:b/>
      <w:bCs/>
      <w:shd w:val="clear" w:color="auto" w:fill="FFFFFF"/>
    </w:rPr>
  </w:style>
  <w:style w:type="character" w:styleId="CommentReference">
    <w:name w:val="annotation reference"/>
    <w:basedOn w:val="DefaultParagraphFont"/>
    <w:uiPriority w:val="99"/>
    <w:semiHidden/>
    <w:unhideWhenUsed/>
    <w:rsid w:val="00C1566F"/>
    <w:rPr>
      <w:sz w:val="16"/>
      <w:szCs w:val="16"/>
    </w:rPr>
  </w:style>
  <w:style w:type="paragraph" w:styleId="CommentText">
    <w:name w:val="annotation text"/>
    <w:basedOn w:val="Normal"/>
    <w:link w:val="CommentTextChar"/>
    <w:uiPriority w:val="99"/>
    <w:unhideWhenUsed/>
    <w:rsid w:val="00C1566F"/>
    <w:pPr>
      <w:spacing w:line="240" w:lineRule="auto"/>
    </w:pPr>
    <w:rPr>
      <w:sz w:val="20"/>
      <w:szCs w:val="20"/>
    </w:rPr>
  </w:style>
  <w:style w:type="character" w:customStyle="1" w:styleId="CommentTextChar">
    <w:name w:val="Comment Text Char"/>
    <w:basedOn w:val="DefaultParagraphFont"/>
    <w:link w:val="CommentText"/>
    <w:uiPriority w:val="99"/>
    <w:rsid w:val="00C1566F"/>
    <w:rPr>
      <w:sz w:val="20"/>
      <w:szCs w:val="20"/>
    </w:rPr>
  </w:style>
  <w:style w:type="paragraph" w:styleId="CommentSubject">
    <w:name w:val="annotation subject"/>
    <w:basedOn w:val="CommentText"/>
    <w:next w:val="CommentText"/>
    <w:link w:val="CommentSubjectChar"/>
    <w:uiPriority w:val="99"/>
    <w:semiHidden/>
    <w:unhideWhenUsed/>
    <w:rsid w:val="00C1566F"/>
    <w:rPr>
      <w:b/>
      <w:bCs/>
    </w:rPr>
  </w:style>
  <w:style w:type="character" w:customStyle="1" w:styleId="CommentSubjectChar">
    <w:name w:val="Comment Subject Char"/>
    <w:basedOn w:val="CommentTextChar"/>
    <w:link w:val="CommentSubject"/>
    <w:uiPriority w:val="99"/>
    <w:semiHidden/>
    <w:rsid w:val="00C1566F"/>
    <w:rPr>
      <w:b/>
      <w:bCs/>
      <w:sz w:val="20"/>
      <w:szCs w:val="20"/>
    </w:rPr>
  </w:style>
  <w:style w:type="character" w:styleId="IntenseEmphasis">
    <w:name w:val="Intense Emphasis"/>
    <w:basedOn w:val="DefaultParagraphFont"/>
    <w:uiPriority w:val="21"/>
    <w:qFormat/>
    <w:rsid w:val="009A52E1"/>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209459296">
      <w:bodyDiv w:val="1"/>
      <w:marLeft w:val="0"/>
      <w:marRight w:val="0"/>
      <w:marTop w:val="0"/>
      <w:marBottom w:val="0"/>
      <w:divBdr>
        <w:top w:val="none" w:sz="0" w:space="0" w:color="auto"/>
        <w:left w:val="none" w:sz="0" w:space="0" w:color="auto"/>
        <w:bottom w:val="none" w:sz="0" w:space="0" w:color="auto"/>
        <w:right w:val="none" w:sz="0" w:space="0" w:color="auto"/>
      </w:divBdr>
    </w:div>
    <w:div w:id="325742649">
      <w:bodyDiv w:val="1"/>
      <w:marLeft w:val="0"/>
      <w:marRight w:val="0"/>
      <w:marTop w:val="0"/>
      <w:marBottom w:val="0"/>
      <w:divBdr>
        <w:top w:val="none" w:sz="0" w:space="0" w:color="auto"/>
        <w:left w:val="none" w:sz="0" w:space="0" w:color="auto"/>
        <w:bottom w:val="none" w:sz="0" w:space="0" w:color="auto"/>
        <w:right w:val="none" w:sz="0" w:space="0" w:color="auto"/>
      </w:divBdr>
    </w:div>
    <w:div w:id="374157561">
      <w:bodyDiv w:val="1"/>
      <w:marLeft w:val="0"/>
      <w:marRight w:val="0"/>
      <w:marTop w:val="0"/>
      <w:marBottom w:val="0"/>
      <w:divBdr>
        <w:top w:val="none" w:sz="0" w:space="0" w:color="auto"/>
        <w:left w:val="none" w:sz="0" w:space="0" w:color="auto"/>
        <w:bottom w:val="none" w:sz="0" w:space="0" w:color="auto"/>
        <w:right w:val="none" w:sz="0" w:space="0" w:color="auto"/>
      </w:divBdr>
    </w:div>
    <w:div w:id="616258053">
      <w:bodyDiv w:val="1"/>
      <w:marLeft w:val="0"/>
      <w:marRight w:val="0"/>
      <w:marTop w:val="0"/>
      <w:marBottom w:val="0"/>
      <w:divBdr>
        <w:top w:val="none" w:sz="0" w:space="0" w:color="auto"/>
        <w:left w:val="none" w:sz="0" w:space="0" w:color="auto"/>
        <w:bottom w:val="none" w:sz="0" w:space="0" w:color="auto"/>
        <w:right w:val="none" w:sz="0" w:space="0" w:color="auto"/>
      </w:divBdr>
    </w:div>
    <w:div w:id="626394786">
      <w:bodyDiv w:val="1"/>
      <w:marLeft w:val="0"/>
      <w:marRight w:val="0"/>
      <w:marTop w:val="0"/>
      <w:marBottom w:val="0"/>
      <w:divBdr>
        <w:top w:val="none" w:sz="0" w:space="0" w:color="auto"/>
        <w:left w:val="none" w:sz="0" w:space="0" w:color="auto"/>
        <w:bottom w:val="none" w:sz="0" w:space="0" w:color="auto"/>
        <w:right w:val="none" w:sz="0" w:space="0" w:color="auto"/>
      </w:divBdr>
    </w:div>
    <w:div w:id="866648430">
      <w:bodyDiv w:val="1"/>
      <w:marLeft w:val="0"/>
      <w:marRight w:val="0"/>
      <w:marTop w:val="0"/>
      <w:marBottom w:val="0"/>
      <w:divBdr>
        <w:top w:val="none" w:sz="0" w:space="0" w:color="auto"/>
        <w:left w:val="none" w:sz="0" w:space="0" w:color="auto"/>
        <w:bottom w:val="none" w:sz="0" w:space="0" w:color="auto"/>
        <w:right w:val="none" w:sz="0" w:space="0" w:color="auto"/>
      </w:divBdr>
    </w:div>
    <w:div w:id="960913672">
      <w:bodyDiv w:val="1"/>
      <w:marLeft w:val="0"/>
      <w:marRight w:val="0"/>
      <w:marTop w:val="0"/>
      <w:marBottom w:val="0"/>
      <w:divBdr>
        <w:top w:val="none" w:sz="0" w:space="0" w:color="auto"/>
        <w:left w:val="none" w:sz="0" w:space="0" w:color="auto"/>
        <w:bottom w:val="none" w:sz="0" w:space="0" w:color="auto"/>
        <w:right w:val="none" w:sz="0" w:space="0" w:color="auto"/>
      </w:divBdr>
    </w:div>
    <w:div w:id="1040401734">
      <w:bodyDiv w:val="1"/>
      <w:marLeft w:val="0"/>
      <w:marRight w:val="0"/>
      <w:marTop w:val="0"/>
      <w:marBottom w:val="0"/>
      <w:divBdr>
        <w:top w:val="none" w:sz="0" w:space="0" w:color="auto"/>
        <w:left w:val="none" w:sz="0" w:space="0" w:color="auto"/>
        <w:bottom w:val="none" w:sz="0" w:space="0" w:color="auto"/>
        <w:right w:val="none" w:sz="0" w:space="0" w:color="auto"/>
      </w:divBdr>
    </w:div>
    <w:div w:id="1525093303">
      <w:bodyDiv w:val="1"/>
      <w:marLeft w:val="0"/>
      <w:marRight w:val="0"/>
      <w:marTop w:val="0"/>
      <w:marBottom w:val="0"/>
      <w:divBdr>
        <w:top w:val="none" w:sz="0" w:space="0" w:color="auto"/>
        <w:left w:val="none" w:sz="0" w:space="0" w:color="auto"/>
        <w:bottom w:val="none" w:sz="0" w:space="0" w:color="auto"/>
        <w:right w:val="none" w:sz="0" w:space="0" w:color="auto"/>
      </w:divBdr>
    </w:div>
    <w:div w:id="193851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lacramioara condea</dc:creator>
  <cp:lastModifiedBy>ccapris</cp:lastModifiedBy>
  <cp:revision>2</cp:revision>
  <cp:lastPrinted>2023-03-22T08:01:00Z</cp:lastPrinted>
  <dcterms:created xsi:type="dcterms:W3CDTF">2023-03-27T11:33:00Z</dcterms:created>
  <dcterms:modified xsi:type="dcterms:W3CDTF">2023-03-27T11:33:00Z</dcterms:modified>
</cp:coreProperties>
</file>