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4" w:type="dxa"/>
        <w:tblInd w:w="108" w:type="dxa"/>
        <w:tblBorders>
          <w:bottom w:val="single" w:sz="4" w:space="0" w:color="auto"/>
        </w:tblBorders>
        <w:tblLayout w:type="fixed"/>
        <w:tblLook w:val="0000"/>
      </w:tblPr>
      <w:tblGrid>
        <w:gridCol w:w="5709"/>
        <w:gridCol w:w="2815"/>
        <w:gridCol w:w="1140"/>
      </w:tblGrid>
      <w:tr w:rsidR="00B32CAD" w:rsidRPr="00771BD1" w:rsidTr="00144814">
        <w:trPr>
          <w:trHeight w:val="985"/>
        </w:trPr>
        <w:tc>
          <w:tcPr>
            <w:tcW w:w="5709" w:type="dxa"/>
            <w:tcBorders>
              <w:bottom w:val="nil"/>
            </w:tcBorders>
          </w:tcPr>
          <w:p w:rsidR="00B32CAD" w:rsidRPr="000B16D9" w:rsidRDefault="00B32CAD" w:rsidP="00144814">
            <w:pPr>
              <w:spacing w:line="276" w:lineRule="auto"/>
              <w:jc w:val="both"/>
            </w:pPr>
            <w:r w:rsidRPr="000B16D9">
              <w:rPr>
                <w:sz w:val="22"/>
                <w:szCs w:val="22"/>
              </w:rPr>
              <w:t>ROMÂNIA</w:t>
            </w:r>
          </w:p>
          <w:p w:rsidR="00B32CAD" w:rsidRPr="000B16D9" w:rsidRDefault="00B32CAD" w:rsidP="00144814">
            <w:pPr>
              <w:spacing w:line="276" w:lineRule="auto"/>
              <w:jc w:val="both"/>
            </w:pPr>
            <w:r w:rsidRPr="000B16D9">
              <w:rPr>
                <w:sz w:val="22"/>
                <w:szCs w:val="22"/>
              </w:rPr>
              <w:t>JUDEŢUL TIMIŞ</w:t>
            </w:r>
            <w:r>
              <w:rPr>
                <w:sz w:val="22"/>
                <w:szCs w:val="22"/>
              </w:rPr>
              <w:t xml:space="preserve">                                                                                   </w:t>
            </w:r>
          </w:p>
          <w:p w:rsidR="00B32CAD" w:rsidRPr="000B16D9" w:rsidRDefault="00B32CAD" w:rsidP="00144814">
            <w:pPr>
              <w:spacing w:line="276" w:lineRule="auto"/>
              <w:jc w:val="both"/>
            </w:pPr>
            <w:r w:rsidRPr="000B16D9">
              <w:rPr>
                <w:sz w:val="22"/>
                <w:szCs w:val="22"/>
              </w:rPr>
              <w:t>MUNICIPIUL TIMIŞOARA</w:t>
            </w:r>
            <w:r>
              <w:rPr>
                <w:sz w:val="22"/>
                <w:szCs w:val="22"/>
              </w:rPr>
              <w:t xml:space="preserve">                                                                                                            </w:t>
            </w:r>
          </w:p>
          <w:p w:rsidR="00B32CAD" w:rsidRPr="000B16D9" w:rsidRDefault="00B32CAD" w:rsidP="00144814">
            <w:pPr>
              <w:spacing w:line="276" w:lineRule="auto"/>
              <w:jc w:val="both"/>
            </w:pPr>
            <w:r w:rsidRPr="000B16D9">
              <w:rPr>
                <w:sz w:val="22"/>
                <w:szCs w:val="22"/>
              </w:rPr>
              <w:t>DIRECŢIA COMUNICARE</w:t>
            </w:r>
          </w:p>
          <w:p w:rsidR="00B32CAD" w:rsidRPr="000B16D9" w:rsidRDefault="00B32CAD" w:rsidP="00B32CAD">
            <w:pPr>
              <w:spacing w:line="276" w:lineRule="auto"/>
              <w:jc w:val="both"/>
            </w:pPr>
            <w:r>
              <w:rPr>
                <w:sz w:val="22"/>
                <w:szCs w:val="22"/>
              </w:rPr>
              <w:t>SC2016</w:t>
            </w:r>
            <w:r w:rsidRPr="000B16D9">
              <w:rPr>
                <w:sz w:val="22"/>
                <w:szCs w:val="22"/>
              </w:rPr>
              <w:t xml:space="preserve"> </w:t>
            </w:r>
            <w:r>
              <w:rPr>
                <w:sz w:val="22"/>
                <w:szCs w:val="22"/>
              </w:rPr>
              <w:t>–</w:t>
            </w:r>
            <w:r w:rsidRPr="000B16D9">
              <w:rPr>
                <w:sz w:val="22"/>
                <w:szCs w:val="22"/>
              </w:rPr>
              <w:t xml:space="preserve"> </w:t>
            </w:r>
            <w:r>
              <w:rPr>
                <w:sz w:val="22"/>
                <w:szCs w:val="22"/>
              </w:rPr>
              <w:t>001039/18.01.2016</w:t>
            </w:r>
          </w:p>
        </w:tc>
        <w:tc>
          <w:tcPr>
            <w:tcW w:w="2815" w:type="dxa"/>
            <w:tcBorders>
              <w:bottom w:val="nil"/>
            </w:tcBorders>
          </w:tcPr>
          <w:p w:rsidR="00B32CAD" w:rsidRDefault="00B32CAD" w:rsidP="00144814">
            <w:pPr>
              <w:spacing w:line="276" w:lineRule="auto"/>
              <w:jc w:val="both"/>
            </w:pPr>
          </w:p>
          <w:p w:rsidR="00B32CAD" w:rsidRDefault="00B32CAD" w:rsidP="00144814">
            <w:pPr>
              <w:spacing w:line="276" w:lineRule="auto"/>
              <w:ind w:firstLine="708"/>
            </w:pPr>
            <w:r>
              <w:rPr>
                <w:sz w:val="22"/>
                <w:szCs w:val="22"/>
              </w:rPr>
              <w:t xml:space="preserve">     APROBAT</w:t>
            </w:r>
          </w:p>
          <w:p w:rsidR="00B32CAD" w:rsidRDefault="00B32CAD" w:rsidP="00144814">
            <w:pPr>
              <w:spacing w:line="276" w:lineRule="auto"/>
              <w:ind w:firstLine="708"/>
            </w:pPr>
            <w:r>
              <w:rPr>
                <w:sz w:val="22"/>
                <w:szCs w:val="22"/>
              </w:rPr>
              <w:t xml:space="preserve">      PRIMAR,</w:t>
            </w:r>
          </w:p>
          <w:p w:rsidR="00B32CAD" w:rsidRPr="00615920" w:rsidRDefault="00B32CAD" w:rsidP="00144814">
            <w:pPr>
              <w:spacing w:line="276" w:lineRule="auto"/>
              <w:jc w:val="center"/>
            </w:pPr>
            <w:r>
              <w:rPr>
                <w:sz w:val="22"/>
                <w:szCs w:val="22"/>
              </w:rPr>
              <w:t xml:space="preserve">       NICOLAE ROBU</w:t>
            </w:r>
          </w:p>
        </w:tc>
        <w:tc>
          <w:tcPr>
            <w:tcW w:w="1140" w:type="dxa"/>
            <w:tcBorders>
              <w:bottom w:val="nil"/>
            </w:tcBorders>
          </w:tcPr>
          <w:p w:rsidR="00B32CAD" w:rsidRPr="00771BD1" w:rsidRDefault="00B32CAD" w:rsidP="00144814">
            <w:pPr>
              <w:spacing w:line="360" w:lineRule="auto"/>
              <w:jc w:val="both"/>
            </w:pPr>
          </w:p>
        </w:tc>
      </w:tr>
    </w:tbl>
    <w:p w:rsidR="00B32CAD" w:rsidRDefault="00B32CAD" w:rsidP="00B32CAD">
      <w:pPr>
        <w:spacing w:line="360" w:lineRule="auto"/>
        <w:rPr>
          <w:sz w:val="22"/>
          <w:szCs w:val="22"/>
        </w:rPr>
      </w:pPr>
      <w:r>
        <w:rPr>
          <w:sz w:val="22"/>
          <w:szCs w:val="22"/>
        </w:rPr>
        <w:t xml:space="preserve">                                                                                                                                        </w:t>
      </w:r>
    </w:p>
    <w:p w:rsidR="00B32CAD" w:rsidRPr="00DD0AE8" w:rsidRDefault="00B32CAD" w:rsidP="00B32CAD">
      <w:pPr>
        <w:spacing w:line="360" w:lineRule="auto"/>
        <w:rPr>
          <w:b/>
          <w:sz w:val="16"/>
          <w:szCs w:val="16"/>
        </w:rPr>
      </w:pPr>
    </w:p>
    <w:p w:rsidR="00B32CAD" w:rsidRDefault="00B32CAD" w:rsidP="00B32CAD">
      <w:pPr>
        <w:tabs>
          <w:tab w:val="left" w:pos="720"/>
        </w:tabs>
        <w:spacing w:line="360" w:lineRule="auto"/>
        <w:jc w:val="both"/>
        <w:rPr>
          <w:b/>
          <w:bCs/>
          <w:sz w:val="16"/>
          <w:szCs w:val="16"/>
        </w:rPr>
      </w:pPr>
    </w:p>
    <w:p w:rsidR="00B32CAD" w:rsidRDefault="00B32CAD" w:rsidP="00B32CAD">
      <w:pPr>
        <w:tabs>
          <w:tab w:val="left" w:pos="720"/>
        </w:tabs>
        <w:spacing w:line="360" w:lineRule="auto"/>
        <w:jc w:val="both"/>
        <w:rPr>
          <w:b/>
          <w:bCs/>
          <w:sz w:val="16"/>
          <w:szCs w:val="16"/>
        </w:rPr>
      </w:pPr>
    </w:p>
    <w:p w:rsidR="00B32CAD" w:rsidRPr="00DD0AE8" w:rsidRDefault="00B32CAD" w:rsidP="00B32CAD">
      <w:pPr>
        <w:tabs>
          <w:tab w:val="left" w:pos="720"/>
        </w:tabs>
        <w:spacing w:line="360" w:lineRule="auto"/>
        <w:jc w:val="both"/>
        <w:rPr>
          <w:b/>
          <w:bCs/>
          <w:sz w:val="16"/>
          <w:szCs w:val="16"/>
        </w:rPr>
      </w:pPr>
    </w:p>
    <w:p w:rsidR="00B32CAD" w:rsidRPr="000B16D9" w:rsidRDefault="00B32CAD" w:rsidP="00B32CAD">
      <w:pPr>
        <w:autoSpaceDE w:val="0"/>
        <w:autoSpaceDN w:val="0"/>
        <w:adjustRightInd w:val="0"/>
        <w:spacing w:line="360" w:lineRule="auto"/>
        <w:jc w:val="center"/>
        <w:rPr>
          <w:b/>
          <w:bCs/>
        </w:rPr>
      </w:pPr>
      <w:r w:rsidRPr="00771BD1">
        <w:rPr>
          <w:b/>
          <w:bCs/>
        </w:rPr>
        <w:tab/>
      </w:r>
      <w:r w:rsidRPr="000B16D9">
        <w:rPr>
          <w:b/>
          <w:bCs/>
        </w:rPr>
        <w:t>REFERAT</w:t>
      </w:r>
    </w:p>
    <w:p w:rsidR="00B32CAD" w:rsidRPr="00E72BC7" w:rsidRDefault="00B32CAD" w:rsidP="00B32CAD">
      <w:pPr>
        <w:autoSpaceDE w:val="0"/>
        <w:autoSpaceDN w:val="0"/>
        <w:adjustRightInd w:val="0"/>
        <w:spacing w:line="360" w:lineRule="auto"/>
        <w:jc w:val="center"/>
        <w:rPr>
          <w:b/>
          <w:bCs/>
          <w:color w:val="000000"/>
        </w:rPr>
      </w:pPr>
      <w:r>
        <w:rPr>
          <w:b/>
          <w:bCs/>
          <w:color w:val="000000"/>
        </w:rPr>
        <w:t>privind modificare Hot</w:t>
      </w:r>
      <w:r w:rsidR="00143FA4">
        <w:rPr>
          <w:b/>
          <w:bCs/>
          <w:color w:val="000000"/>
        </w:rPr>
        <w:t>ă</w:t>
      </w:r>
      <w:r>
        <w:rPr>
          <w:b/>
          <w:bCs/>
          <w:color w:val="000000"/>
        </w:rPr>
        <w:t>r</w:t>
      </w:r>
      <w:r w:rsidR="00143FA4">
        <w:rPr>
          <w:b/>
          <w:bCs/>
          <w:color w:val="000000"/>
        </w:rPr>
        <w:t>â</w:t>
      </w:r>
      <w:r>
        <w:rPr>
          <w:b/>
          <w:bCs/>
          <w:color w:val="000000"/>
        </w:rPr>
        <w:t>rii Consiliului Local nr.496/20.11.2015 pentru</w:t>
      </w:r>
      <w:r w:rsidRPr="001A04B2">
        <w:rPr>
          <w:b/>
          <w:bCs/>
          <w:color w:val="000000"/>
        </w:rPr>
        <w:t xml:space="preserve"> aprobarea </w:t>
      </w:r>
      <w:r w:rsidRPr="00E72BC7">
        <w:rPr>
          <w:b/>
          <w:color w:val="000000"/>
          <w:shd w:val="clear" w:color="auto" w:fill="FFFFFF"/>
        </w:rPr>
        <w:t>Regulamentul</w:t>
      </w:r>
      <w:r>
        <w:rPr>
          <w:b/>
          <w:color w:val="000000"/>
          <w:shd w:val="clear" w:color="auto" w:fill="FFFFFF"/>
        </w:rPr>
        <w:t>ui</w:t>
      </w:r>
      <w:r w:rsidRPr="00E72BC7">
        <w:rPr>
          <w:b/>
          <w:color w:val="000000"/>
          <w:shd w:val="clear" w:color="auto" w:fill="FFFFFF"/>
        </w:rPr>
        <w:t xml:space="preserve"> </w:t>
      </w:r>
      <w:r w:rsidRPr="00E72BC7">
        <w:rPr>
          <w:b/>
          <w:bCs/>
          <w:color w:val="000000"/>
        </w:rPr>
        <w:t>privind regimul finanţărilor nerambursabile alocate de la bugetul local  pentru activităţi nonprofit culturale şi de tineret de interes local</w:t>
      </w:r>
    </w:p>
    <w:p w:rsidR="00B32CAD" w:rsidRDefault="00B32CAD" w:rsidP="00B32CAD">
      <w:pPr>
        <w:spacing w:line="360" w:lineRule="auto"/>
        <w:jc w:val="both"/>
        <w:rPr>
          <w:b/>
        </w:rPr>
      </w:pPr>
      <w:r w:rsidRPr="001A04B2">
        <w:rPr>
          <w:b/>
          <w:bCs/>
          <w:color w:val="000000"/>
        </w:rPr>
        <w:br/>
      </w:r>
      <w:r>
        <w:t xml:space="preserve">             Legea nr. 350 din 2 decembrie 2005 stabileşte regimul finanţărilor nerambursabile din fondurile publice alocate pentru activităţi nonprofit de interes general, stabileşte principiile, cadrul general şi procedura pentru atribuirea contractelor de finanţare nerambursabilă din fonduri publice, precum şi căile de atac ale actului sau deciziei autorităţilor finanţatoare care aplică procedura de atribuire a contractelor de finanţare.</w:t>
      </w:r>
    </w:p>
    <w:p w:rsidR="00B32CAD" w:rsidRDefault="00B32CAD" w:rsidP="00B32CAD">
      <w:pPr>
        <w:autoSpaceDE w:val="0"/>
        <w:autoSpaceDN w:val="0"/>
        <w:adjustRightInd w:val="0"/>
        <w:spacing w:line="360" w:lineRule="auto"/>
        <w:jc w:val="both"/>
      </w:pPr>
      <w:r>
        <w:tab/>
        <w:t xml:space="preserve"> Prin HCL nr. 535/31.10.2014 a fost aprobată Strategia culturală a municipiului Timişoara pentru perioada 2014-2024, ale cărei axe prioritare, direcţii strategice, obiective şi măsuri trebuie să se regăsească în acţiunile şi manifestările culturale precum şi de tineret pentru următorii zece ani. </w:t>
      </w:r>
    </w:p>
    <w:p w:rsidR="00B32CAD" w:rsidRDefault="00B32CAD" w:rsidP="00B32CAD">
      <w:pPr>
        <w:autoSpaceDE w:val="0"/>
        <w:autoSpaceDN w:val="0"/>
        <w:adjustRightInd w:val="0"/>
        <w:spacing w:line="360" w:lineRule="auto"/>
        <w:jc w:val="both"/>
      </w:pPr>
      <w:r>
        <w:t>Pentru a promova identitatea oraşului este necesară organizarea de acţiuni, evenimente culturale şi festivaluri care sunt instrumente de comunicare foarte puternice şi părţi esenţiale ale strategiei de marketing urban.</w:t>
      </w:r>
    </w:p>
    <w:p w:rsidR="000C35EC" w:rsidRDefault="00B32CAD" w:rsidP="000C35EC">
      <w:pPr>
        <w:autoSpaceDE w:val="0"/>
        <w:autoSpaceDN w:val="0"/>
        <w:adjustRightInd w:val="0"/>
        <w:spacing w:line="360" w:lineRule="auto"/>
        <w:ind w:firstLine="708"/>
        <w:jc w:val="both"/>
      </w:pPr>
      <w:r>
        <w:t>Prin HCL nr. 574/27.11.2014 privind aprobarea Strategiei de tineret a municipiului Timişoara pentru perioada 2014-2020 a fost aprobată Strategia de tineret, ale cărei axe prioritare, direcţii strategice, obiective şi măsuri trebuie să se regăsească în acţiunile şi manifestările de tineret precum şi culturale pentru următorii şase ani.</w:t>
      </w:r>
    </w:p>
    <w:p w:rsidR="000C35EC" w:rsidRPr="000C35EC" w:rsidRDefault="000C35EC" w:rsidP="000C35EC">
      <w:pPr>
        <w:autoSpaceDE w:val="0"/>
        <w:autoSpaceDN w:val="0"/>
        <w:adjustRightInd w:val="0"/>
        <w:spacing w:line="360" w:lineRule="auto"/>
        <w:ind w:firstLine="708"/>
        <w:jc w:val="both"/>
      </w:pPr>
      <w:r w:rsidRPr="000C35EC">
        <w:t>Pentru a promova identitatea oraşului este necesară organizarea de actiuni, evenimente culturale şi festivaluri care sunt instrumente de comunicare foarte puternice şi părţi esenţiale ale strategiei de marketing urban</w:t>
      </w:r>
      <w:r>
        <w:t>.</w:t>
      </w:r>
    </w:p>
    <w:p w:rsidR="000C35EC" w:rsidRDefault="00B32CAD" w:rsidP="00B32CAD">
      <w:pPr>
        <w:autoSpaceDE w:val="0"/>
        <w:autoSpaceDN w:val="0"/>
        <w:adjustRightInd w:val="0"/>
        <w:spacing w:line="360" w:lineRule="auto"/>
        <w:jc w:val="both"/>
      </w:pPr>
      <w:r>
        <w:tab/>
        <w:t xml:space="preserve">Având in vedere </w:t>
      </w:r>
      <w:r w:rsidR="00774469">
        <w:t xml:space="preserve">faptul </w:t>
      </w:r>
      <w:r w:rsidR="000C35EC">
        <w:t xml:space="preserve">că </w:t>
      </w:r>
      <w:r w:rsidR="00774469">
        <w:t>toate manifest</w:t>
      </w:r>
      <w:r w:rsidR="00F20D69">
        <w:t>ă</w:t>
      </w:r>
      <w:r w:rsidR="00774469">
        <w:t>rile importante ale municipalit</w:t>
      </w:r>
      <w:r w:rsidR="00F20D69">
        <w:t>ăţ</w:t>
      </w:r>
      <w:r w:rsidR="00774469">
        <w:t>ii se desf</w:t>
      </w:r>
      <w:r w:rsidR="00F20D69">
        <w:t>ăş</w:t>
      </w:r>
      <w:r w:rsidR="00774469">
        <w:t>oar</w:t>
      </w:r>
      <w:r w:rsidR="00F20D69">
        <w:t>ă</w:t>
      </w:r>
      <w:r w:rsidR="00774469">
        <w:t xml:space="preserve"> prin intermediul Agendei culturale a Casei de Cultur</w:t>
      </w:r>
      <w:r w:rsidR="00F20D69">
        <w:t>ă</w:t>
      </w:r>
      <w:r w:rsidR="00774469">
        <w:t xml:space="preserve"> a Municipiului Timi</w:t>
      </w:r>
      <w:r w:rsidR="00F20D69">
        <w:t>ş</w:t>
      </w:r>
      <w:r w:rsidR="00774469">
        <w:t xml:space="preserve">oara este necesar ca </w:t>
      </w:r>
      <w:r w:rsidR="00F20D69">
        <w:t>ş</w:t>
      </w:r>
      <w:r w:rsidR="00774469">
        <w:t xml:space="preserve">i proiectele culturale </w:t>
      </w:r>
      <w:r w:rsidR="00F20D69">
        <w:t>ş</w:t>
      </w:r>
      <w:r w:rsidR="00774469">
        <w:t>i de tineret cu finan</w:t>
      </w:r>
      <w:r w:rsidR="00F20D69">
        <w:t>ţ</w:t>
      </w:r>
      <w:r w:rsidR="00774469">
        <w:t>are nerambursabil</w:t>
      </w:r>
      <w:r w:rsidR="00F20D69">
        <w:t>ă</w:t>
      </w:r>
      <w:r w:rsidR="00774469">
        <w:t xml:space="preserve"> s</w:t>
      </w:r>
      <w:r w:rsidR="00F20D69">
        <w:t>ă</w:t>
      </w:r>
      <w:r w:rsidR="00774469">
        <w:t xml:space="preserve"> fie gestionate de aceeasi institu</w:t>
      </w:r>
      <w:r w:rsidR="00F20D69">
        <w:t>ţ</w:t>
      </w:r>
      <w:r w:rsidR="00774469">
        <w:t>ie.</w:t>
      </w:r>
    </w:p>
    <w:p w:rsidR="00774469" w:rsidRDefault="00F20D69" w:rsidP="00F20D69">
      <w:pPr>
        <w:autoSpaceDE w:val="0"/>
        <w:autoSpaceDN w:val="0"/>
        <w:adjustRightInd w:val="0"/>
        <w:spacing w:line="360" w:lineRule="auto"/>
        <w:ind w:firstLine="720"/>
        <w:jc w:val="both"/>
      </w:pPr>
      <w:r>
        <w:lastRenderedPageBreak/>
        <w:t>Ţ</w:t>
      </w:r>
      <w:r w:rsidR="00774469">
        <w:t>in</w:t>
      </w:r>
      <w:r>
        <w:t>â</w:t>
      </w:r>
      <w:r w:rsidR="00774469">
        <w:t xml:space="preserve">nd cont de necesitatea </w:t>
      </w:r>
      <w:r>
        <w:t>unei abordări unitare a acestor manifestări şi proiecte</w:t>
      </w:r>
    </w:p>
    <w:p w:rsidR="00F20D69" w:rsidRDefault="00F20D69" w:rsidP="00B32CAD">
      <w:pPr>
        <w:spacing w:line="360" w:lineRule="auto"/>
        <w:jc w:val="center"/>
      </w:pPr>
    </w:p>
    <w:p w:rsidR="00F20D69" w:rsidRDefault="00F20D69" w:rsidP="00B32CAD">
      <w:pPr>
        <w:spacing w:line="360" w:lineRule="auto"/>
        <w:jc w:val="center"/>
      </w:pPr>
    </w:p>
    <w:p w:rsidR="00B32CAD" w:rsidRPr="003E21B7" w:rsidRDefault="00B32CAD" w:rsidP="00B32CAD">
      <w:pPr>
        <w:spacing w:line="360" w:lineRule="auto"/>
        <w:jc w:val="center"/>
      </w:pPr>
      <w:r w:rsidRPr="003E21B7">
        <w:t>P R O P U N E M :</w:t>
      </w:r>
    </w:p>
    <w:p w:rsidR="00B32CAD" w:rsidRPr="000B16D9" w:rsidRDefault="00B32CAD" w:rsidP="00B32CAD">
      <w:pPr>
        <w:tabs>
          <w:tab w:val="left" w:pos="1080"/>
        </w:tabs>
        <w:spacing w:line="360" w:lineRule="auto"/>
        <w:jc w:val="both"/>
        <w:rPr>
          <w:sz w:val="16"/>
          <w:szCs w:val="16"/>
        </w:rPr>
      </w:pPr>
    </w:p>
    <w:p w:rsidR="00B32CAD" w:rsidRPr="004015EC" w:rsidRDefault="00B32CAD" w:rsidP="00B32CAD">
      <w:pPr>
        <w:autoSpaceDE w:val="0"/>
        <w:autoSpaceDN w:val="0"/>
        <w:adjustRightInd w:val="0"/>
        <w:spacing w:line="360" w:lineRule="auto"/>
        <w:jc w:val="both"/>
        <w:rPr>
          <w:bCs/>
          <w:color w:val="000000"/>
        </w:rPr>
      </w:pPr>
      <w:r>
        <w:t xml:space="preserve">emiterea unei hotărâri de Consiliu Local pentru </w:t>
      </w:r>
      <w:r w:rsidR="00216C34">
        <w:t>modificarea Hotărârii Consiliului Local nr.496/20.11.2015</w:t>
      </w:r>
      <w:r>
        <w:t xml:space="preserve"> </w:t>
      </w:r>
      <w:r w:rsidR="00216C34">
        <w:t xml:space="preserve"> pentru aprobarea </w:t>
      </w:r>
      <w:r w:rsidRPr="004015EC">
        <w:rPr>
          <w:color w:val="000000"/>
          <w:shd w:val="clear" w:color="auto" w:fill="FFFFFF"/>
        </w:rPr>
        <w:t>Regulamentul</w:t>
      </w:r>
      <w:r>
        <w:rPr>
          <w:color w:val="000000"/>
          <w:shd w:val="clear" w:color="auto" w:fill="FFFFFF"/>
        </w:rPr>
        <w:t>ui</w:t>
      </w:r>
      <w:r w:rsidRPr="004015EC">
        <w:rPr>
          <w:color w:val="000000"/>
          <w:shd w:val="clear" w:color="auto" w:fill="FFFFFF"/>
        </w:rPr>
        <w:t xml:space="preserve"> </w:t>
      </w:r>
      <w:r w:rsidRPr="004015EC">
        <w:rPr>
          <w:bCs/>
          <w:color w:val="000000"/>
        </w:rPr>
        <w:t>privind regimul finanţărilor nerambursabile alocate de la bugetul local  pentru activităţi nonprofit culturale şi de tineret de interes local</w:t>
      </w:r>
      <w:r>
        <w:rPr>
          <w:bCs/>
          <w:color w:val="000000"/>
        </w:rPr>
        <w:t xml:space="preserve">, </w:t>
      </w:r>
      <w:r>
        <w:t>conform Anexei care va face parte din hotărâre.</w:t>
      </w:r>
    </w:p>
    <w:p w:rsidR="00F20D69" w:rsidRDefault="00F20D69" w:rsidP="00B32CAD">
      <w:pPr>
        <w:autoSpaceDE w:val="0"/>
        <w:autoSpaceDN w:val="0"/>
        <w:adjustRightInd w:val="0"/>
        <w:spacing w:line="360" w:lineRule="auto"/>
        <w:jc w:val="both"/>
        <w:rPr>
          <w:rFonts w:ascii="TimesNewRomanPSMT" w:hAnsi="TimesNewRomanPSMT" w:cs="TimesNewRomanPSMT"/>
          <w:sz w:val="22"/>
          <w:szCs w:val="22"/>
        </w:rPr>
      </w:pPr>
    </w:p>
    <w:p w:rsidR="00B32CAD" w:rsidRDefault="00B32CAD" w:rsidP="00B32CAD">
      <w:pPr>
        <w:spacing w:line="360" w:lineRule="auto"/>
        <w:jc w:val="both"/>
      </w:pPr>
    </w:p>
    <w:p w:rsidR="00B32CAD" w:rsidRPr="00AE618C" w:rsidRDefault="00B32CAD" w:rsidP="00B32CAD">
      <w:pPr>
        <w:autoSpaceDE w:val="0"/>
        <w:autoSpaceDN w:val="0"/>
        <w:adjustRightInd w:val="0"/>
        <w:spacing w:line="360" w:lineRule="auto"/>
        <w:jc w:val="both"/>
      </w:pPr>
      <w:r>
        <w:rPr>
          <w:sz w:val="22"/>
          <w:szCs w:val="22"/>
        </w:rPr>
        <w:t xml:space="preserve"> </w:t>
      </w:r>
      <w:r w:rsidRPr="00AE618C">
        <w:tab/>
        <w:t xml:space="preserve">Viceprimar </w:t>
      </w:r>
      <w:r w:rsidRPr="00AE618C">
        <w:tab/>
      </w:r>
      <w:r w:rsidRPr="00AE618C">
        <w:tab/>
      </w:r>
      <w:r w:rsidRPr="00AE618C">
        <w:tab/>
      </w:r>
      <w:r w:rsidRPr="00AE618C">
        <w:tab/>
      </w:r>
      <w:r w:rsidRPr="00AE618C">
        <w:tab/>
      </w:r>
      <w:r w:rsidRPr="00AE618C">
        <w:tab/>
        <w:t xml:space="preserve">     </w:t>
      </w:r>
      <w:r w:rsidRPr="00AE618C">
        <w:tab/>
      </w:r>
      <w:r w:rsidRPr="00AE618C">
        <w:tab/>
        <w:t xml:space="preserve">    </w:t>
      </w:r>
      <w:r w:rsidR="00143FA4">
        <w:t>p</w:t>
      </w:r>
      <w:r w:rsidR="003C28B4">
        <w:t>t</w:t>
      </w:r>
      <w:r w:rsidR="00143FA4">
        <w:t xml:space="preserve">. </w:t>
      </w:r>
      <w:r w:rsidRPr="00AE618C">
        <w:t>Secretar</w:t>
      </w:r>
    </w:p>
    <w:p w:rsidR="00B32CAD" w:rsidRPr="00AE618C" w:rsidRDefault="00B32CAD" w:rsidP="00B32CAD">
      <w:pPr>
        <w:autoSpaceDE w:val="0"/>
        <w:autoSpaceDN w:val="0"/>
        <w:adjustRightInd w:val="0"/>
        <w:spacing w:line="360" w:lineRule="auto"/>
      </w:pPr>
      <w:r w:rsidRPr="00AE618C">
        <w:tab/>
        <w:t>Dan Diaconu</w:t>
      </w:r>
      <w:r w:rsidRPr="00AE618C">
        <w:tab/>
      </w:r>
      <w:r w:rsidRPr="00AE618C">
        <w:tab/>
      </w:r>
      <w:r w:rsidRPr="00AE618C">
        <w:tab/>
      </w:r>
      <w:r w:rsidRPr="00AE618C">
        <w:tab/>
      </w:r>
      <w:r w:rsidRPr="00AE618C">
        <w:tab/>
      </w:r>
      <w:r w:rsidRPr="00AE618C">
        <w:tab/>
      </w:r>
      <w:r w:rsidRPr="00AE618C">
        <w:tab/>
      </w:r>
      <w:r w:rsidRPr="00AE618C">
        <w:tab/>
        <w:t xml:space="preserve">  </w:t>
      </w:r>
      <w:r w:rsidR="00143FA4">
        <w:t>Simona Drăgoi</w:t>
      </w:r>
      <w:r w:rsidRPr="00AE618C">
        <w:tab/>
      </w:r>
    </w:p>
    <w:p w:rsidR="00B32CAD" w:rsidRPr="00AE618C" w:rsidRDefault="00B32CAD" w:rsidP="00B32CAD">
      <w:pPr>
        <w:autoSpaceDE w:val="0"/>
        <w:autoSpaceDN w:val="0"/>
        <w:adjustRightInd w:val="0"/>
        <w:spacing w:line="360" w:lineRule="auto"/>
      </w:pPr>
    </w:p>
    <w:p w:rsidR="00B32CAD" w:rsidRPr="00AE618C" w:rsidRDefault="00B32CAD" w:rsidP="00B32CAD">
      <w:pPr>
        <w:autoSpaceDE w:val="0"/>
        <w:autoSpaceDN w:val="0"/>
        <w:adjustRightInd w:val="0"/>
        <w:spacing w:line="360" w:lineRule="auto"/>
      </w:pPr>
    </w:p>
    <w:p w:rsidR="00B32CAD" w:rsidRPr="00AE618C" w:rsidRDefault="00B32CAD" w:rsidP="00B32CAD">
      <w:pPr>
        <w:spacing w:line="360" w:lineRule="auto"/>
        <w:ind w:firstLine="680"/>
        <w:jc w:val="both"/>
      </w:pPr>
      <w:r w:rsidRPr="00AE618C">
        <w:t xml:space="preserve">Director </w:t>
      </w:r>
      <w:r w:rsidR="00143FA4">
        <w:t>Direcţia Ecomomică</w:t>
      </w:r>
      <w:r w:rsidRPr="00AE618C">
        <w:t xml:space="preserve"> </w:t>
      </w:r>
      <w:r w:rsidRPr="00AE618C">
        <w:tab/>
      </w:r>
      <w:r w:rsidRPr="00AE618C">
        <w:tab/>
      </w:r>
      <w:r w:rsidRPr="00AE618C">
        <w:tab/>
      </w:r>
      <w:r w:rsidRPr="00AE618C">
        <w:tab/>
        <w:t xml:space="preserve">                 Director Direcţia Comunicare</w:t>
      </w:r>
    </w:p>
    <w:p w:rsidR="00B32CAD" w:rsidRPr="00AE618C" w:rsidRDefault="00143FA4" w:rsidP="00B32CAD">
      <w:pPr>
        <w:spacing w:line="360" w:lineRule="auto"/>
        <w:ind w:firstLine="680"/>
        <w:jc w:val="both"/>
      </w:pPr>
      <w:r>
        <w:t>Smaranda Haracicu</w:t>
      </w:r>
      <w:r w:rsidR="00B32CAD" w:rsidRPr="00AE618C">
        <w:tab/>
      </w:r>
      <w:r w:rsidR="00B32CAD" w:rsidRPr="00AE618C">
        <w:tab/>
        <w:t xml:space="preserve">  </w:t>
      </w:r>
      <w:r w:rsidR="00B32CAD" w:rsidRPr="00AE618C">
        <w:tab/>
      </w:r>
      <w:r w:rsidR="00B32CAD" w:rsidRPr="00AE618C">
        <w:tab/>
      </w:r>
      <w:r w:rsidR="00B32CAD" w:rsidRPr="00AE618C">
        <w:tab/>
      </w:r>
      <w:r w:rsidR="00B32CAD" w:rsidRPr="00AE618C">
        <w:tab/>
        <w:t xml:space="preserve">                Alina Pintile</w:t>
      </w:r>
    </w:p>
    <w:p w:rsidR="00B32CAD" w:rsidRDefault="00B32CAD" w:rsidP="00B32CAD">
      <w:pPr>
        <w:autoSpaceDE w:val="0"/>
        <w:autoSpaceDN w:val="0"/>
        <w:adjustRightInd w:val="0"/>
        <w:spacing w:line="360" w:lineRule="auto"/>
      </w:pPr>
    </w:p>
    <w:p w:rsidR="00143FA4" w:rsidRPr="00AE618C" w:rsidRDefault="00143FA4" w:rsidP="00B32CAD">
      <w:pPr>
        <w:autoSpaceDE w:val="0"/>
        <w:autoSpaceDN w:val="0"/>
        <w:adjustRightInd w:val="0"/>
        <w:spacing w:line="360" w:lineRule="auto"/>
      </w:pPr>
    </w:p>
    <w:p w:rsidR="00B32CAD" w:rsidRDefault="00143FA4" w:rsidP="00B32CAD">
      <w:pPr>
        <w:autoSpaceDE w:val="0"/>
        <w:autoSpaceDN w:val="0"/>
        <w:adjustRightInd w:val="0"/>
        <w:spacing w:line="360" w:lineRule="auto"/>
      </w:pPr>
      <w:r>
        <w:t xml:space="preserve">           Director Casa de Cultură</w:t>
      </w:r>
    </w:p>
    <w:p w:rsidR="00143FA4" w:rsidRPr="00AE618C" w:rsidRDefault="00143FA4" w:rsidP="00B32CAD">
      <w:pPr>
        <w:autoSpaceDE w:val="0"/>
        <w:autoSpaceDN w:val="0"/>
        <w:adjustRightInd w:val="0"/>
        <w:spacing w:line="360" w:lineRule="auto"/>
      </w:pPr>
      <w:r>
        <w:t xml:space="preserve">           Pavel Dehelean</w:t>
      </w:r>
    </w:p>
    <w:p w:rsidR="00B32CAD" w:rsidRPr="00AE618C" w:rsidRDefault="00B32CAD" w:rsidP="00B32CAD">
      <w:pPr>
        <w:autoSpaceDE w:val="0"/>
        <w:autoSpaceDN w:val="0"/>
        <w:adjustRightInd w:val="0"/>
        <w:spacing w:line="360" w:lineRule="auto"/>
      </w:pPr>
    </w:p>
    <w:p w:rsidR="00B32CAD" w:rsidRPr="00AE618C" w:rsidRDefault="00B32CAD" w:rsidP="00B32CAD">
      <w:pPr>
        <w:autoSpaceDE w:val="0"/>
        <w:autoSpaceDN w:val="0"/>
        <w:adjustRightInd w:val="0"/>
        <w:spacing w:line="360" w:lineRule="auto"/>
      </w:pPr>
      <w:r w:rsidRPr="00AE618C">
        <w:tab/>
      </w:r>
      <w:r w:rsidRPr="00AE618C">
        <w:tab/>
      </w:r>
      <w:r w:rsidRPr="00AE618C">
        <w:tab/>
      </w:r>
      <w:r w:rsidRPr="00AE618C">
        <w:tab/>
      </w:r>
      <w:r w:rsidRPr="00AE618C">
        <w:tab/>
      </w:r>
      <w:r w:rsidRPr="00AE618C">
        <w:tab/>
      </w:r>
      <w:r w:rsidRPr="00AE618C">
        <w:tab/>
      </w:r>
      <w:r w:rsidRPr="00AE618C">
        <w:tab/>
      </w:r>
      <w:r w:rsidRPr="00AE618C">
        <w:tab/>
      </w:r>
      <w:r w:rsidRPr="00AE618C">
        <w:tab/>
        <w:t xml:space="preserve">      Intocmit, </w:t>
      </w:r>
      <w:r w:rsidRPr="00AE618C">
        <w:tab/>
      </w:r>
      <w:r w:rsidRPr="00AE618C">
        <w:tab/>
      </w:r>
      <w:r w:rsidRPr="00AE618C">
        <w:tab/>
      </w:r>
      <w:r w:rsidRPr="00AE618C">
        <w:tab/>
        <w:t xml:space="preserve"> </w:t>
      </w:r>
      <w:r w:rsidRPr="00AE618C">
        <w:tab/>
      </w:r>
      <w:r w:rsidRPr="00AE618C">
        <w:tab/>
      </w:r>
      <w:r w:rsidRPr="00AE618C">
        <w:tab/>
      </w:r>
      <w:r w:rsidRPr="00AE618C">
        <w:tab/>
      </w:r>
      <w:r w:rsidRPr="00AE618C">
        <w:tab/>
      </w:r>
      <w:r w:rsidRPr="00AE618C">
        <w:tab/>
      </w:r>
      <w:r w:rsidRPr="00AE618C">
        <w:tab/>
      </w:r>
      <w:r w:rsidRPr="00AE618C">
        <w:tab/>
        <w:t>Mihaela Popescu</w:t>
      </w:r>
    </w:p>
    <w:p w:rsidR="00B32CAD" w:rsidRPr="00AE618C" w:rsidRDefault="00B32CAD" w:rsidP="00B32CAD">
      <w:pPr>
        <w:autoSpaceDE w:val="0"/>
        <w:autoSpaceDN w:val="0"/>
        <w:adjustRightInd w:val="0"/>
        <w:spacing w:line="360" w:lineRule="auto"/>
      </w:pPr>
    </w:p>
    <w:p w:rsidR="00B32CAD" w:rsidRPr="00AE618C" w:rsidRDefault="00B32CAD" w:rsidP="00B32CAD">
      <w:pPr>
        <w:autoSpaceDE w:val="0"/>
        <w:autoSpaceDN w:val="0"/>
        <w:adjustRightInd w:val="0"/>
        <w:spacing w:line="360" w:lineRule="auto"/>
      </w:pPr>
    </w:p>
    <w:p w:rsidR="00B32CAD" w:rsidRPr="00AE618C" w:rsidRDefault="00143FA4" w:rsidP="00B32CAD">
      <w:pPr>
        <w:autoSpaceDE w:val="0"/>
        <w:autoSpaceDN w:val="0"/>
        <w:adjustRightInd w:val="0"/>
        <w:spacing w:line="360" w:lineRule="auto"/>
      </w:pPr>
      <w:r>
        <w:tab/>
      </w:r>
      <w:r>
        <w:tab/>
      </w:r>
      <w:r>
        <w:tab/>
      </w:r>
      <w:r>
        <w:tab/>
      </w:r>
      <w:r>
        <w:tab/>
      </w:r>
      <w:r w:rsidR="00B32CAD" w:rsidRPr="00AE618C">
        <w:t>Avizat juridic,</w:t>
      </w:r>
    </w:p>
    <w:p w:rsidR="00F76C10" w:rsidRDefault="00F76C10"/>
    <w:sectPr w:rsidR="00F76C10" w:rsidSect="00615920">
      <w:footerReference w:type="default" r:id="rId6"/>
      <w:pgSz w:w="11907" w:h="16839" w:code="9"/>
      <w:pgMar w:top="1440" w:right="1080" w:bottom="1440" w:left="1080"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536" w:rsidRDefault="00073536" w:rsidP="00F95C59">
      <w:r>
        <w:separator/>
      </w:r>
    </w:p>
  </w:endnote>
  <w:endnote w:type="continuationSeparator" w:id="0">
    <w:p w:rsidR="00073536" w:rsidRDefault="00073536" w:rsidP="00F95C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06" w:rsidRPr="00DD0AE8" w:rsidRDefault="00216C34">
    <w:pPr>
      <w:pStyle w:val="Footer"/>
      <w:rPr>
        <w:sz w:val="20"/>
        <w:szCs w:val="20"/>
      </w:rPr>
    </w:pPr>
    <w:r>
      <w:tab/>
    </w:r>
    <w:r>
      <w:tab/>
    </w:r>
    <w:r>
      <w:rPr>
        <w:sz w:val="20"/>
        <w:szCs w:val="20"/>
      </w:rPr>
      <w:t>FO53-01 VER2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536" w:rsidRDefault="00073536" w:rsidP="00F95C59">
      <w:r>
        <w:separator/>
      </w:r>
    </w:p>
  </w:footnote>
  <w:footnote w:type="continuationSeparator" w:id="0">
    <w:p w:rsidR="00073536" w:rsidRDefault="00073536" w:rsidP="00F95C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32CAD"/>
    <w:rsid w:val="00073536"/>
    <w:rsid w:val="000B0445"/>
    <w:rsid w:val="000C35EC"/>
    <w:rsid w:val="00142CB5"/>
    <w:rsid w:val="00143FA4"/>
    <w:rsid w:val="00216C34"/>
    <w:rsid w:val="002D7317"/>
    <w:rsid w:val="003C28B4"/>
    <w:rsid w:val="00774469"/>
    <w:rsid w:val="008141D6"/>
    <w:rsid w:val="00B32CAD"/>
    <w:rsid w:val="00F20D69"/>
    <w:rsid w:val="00F76C10"/>
    <w:rsid w:val="00F95008"/>
    <w:rsid w:val="00F95C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CAD"/>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2CAD"/>
    <w:pPr>
      <w:tabs>
        <w:tab w:val="center" w:pos="4680"/>
        <w:tab w:val="right" w:pos="9360"/>
      </w:tabs>
    </w:pPr>
  </w:style>
  <w:style w:type="character" w:customStyle="1" w:styleId="FooterChar">
    <w:name w:val="Footer Char"/>
    <w:basedOn w:val="DefaultParagraphFont"/>
    <w:link w:val="Footer"/>
    <w:rsid w:val="00B32CAD"/>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MihaelaPopescu</dc:creator>
  <cp:keywords/>
  <dc:description/>
  <cp:lastModifiedBy>MihaelaPopescu</cp:lastModifiedBy>
  <cp:revision>5</cp:revision>
  <cp:lastPrinted>2016-01-19T06:13:00Z</cp:lastPrinted>
  <dcterms:created xsi:type="dcterms:W3CDTF">2016-01-18T11:31:00Z</dcterms:created>
  <dcterms:modified xsi:type="dcterms:W3CDTF">2016-01-20T09:35:00Z</dcterms:modified>
</cp:coreProperties>
</file>