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 xml:space="preserve">Nr.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MOTIVE  PRIVIND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r w:rsidRPr="00B82295">
        <w:rPr>
          <w:b/>
          <w:color w:val="000000"/>
          <w:spacing w:val="-6"/>
          <w:sz w:val="22"/>
          <w:szCs w:val="22"/>
        </w:rPr>
        <w:t xml:space="preserve">Proiect de hotărâre </w:t>
      </w:r>
      <w:r w:rsidRPr="00B82295">
        <w:rPr>
          <w:b/>
          <w:color w:val="000000"/>
          <w:spacing w:val="-2"/>
          <w:sz w:val="22"/>
          <w:szCs w:val="22"/>
        </w:rPr>
        <w:t>privind</w:t>
      </w:r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703A09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 346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/15.09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7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 termică imobil,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r w:rsidR="00703A09">
        <w:rPr>
          <w:rFonts w:eastAsia="Calibri"/>
          <w:b/>
          <w:bCs/>
          <w:color w:val="000000"/>
          <w:sz w:val="22"/>
          <w:szCs w:val="22"/>
          <w:lang w:eastAsia="ro-RO"/>
        </w:rPr>
        <w:t>Linistei</w:t>
      </w:r>
      <w:r w:rsidR="00703A09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nr.17,bl.92</w:t>
      </w:r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703A09">
        <w:rPr>
          <w:b/>
          <w:bCs/>
          <w:color w:val="000000"/>
          <w:sz w:val="22"/>
          <w:szCs w:val="22"/>
          <w:lang w:eastAsia="ro-RO"/>
        </w:rPr>
        <w:t>, modificat prin HCL nr. 595</w:t>
      </w:r>
      <w:r w:rsidR="00C23559">
        <w:rPr>
          <w:b/>
          <w:bCs/>
          <w:color w:val="000000"/>
          <w:sz w:val="22"/>
          <w:szCs w:val="22"/>
          <w:lang w:eastAsia="ro-RO"/>
        </w:rPr>
        <w:t>/16.1</w:t>
      </w:r>
      <w:r w:rsidR="004F5D0D">
        <w:rPr>
          <w:b/>
          <w:bCs/>
          <w:color w:val="000000"/>
          <w:sz w:val="22"/>
          <w:szCs w:val="22"/>
          <w:lang w:eastAsia="ro-RO"/>
        </w:rPr>
        <w:t>1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</w:t>
      </w:r>
      <w:r w:rsidR="00C23559">
        <w:rPr>
          <w:b/>
          <w:bCs/>
          <w:color w:val="000000"/>
          <w:sz w:val="22"/>
          <w:szCs w:val="22"/>
          <w:lang w:eastAsia="ro-RO"/>
        </w:rPr>
        <w:t>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 situatiei actuale</w:t>
      </w:r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r w:rsidRPr="00B82295">
        <w:rPr>
          <w:color w:val="000000"/>
          <w:spacing w:val="-5"/>
          <w:sz w:val="22"/>
          <w:szCs w:val="22"/>
        </w:rPr>
        <w:t>Pentru</w:t>
      </w:r>
      <w:r w:rsidR="009A47F7" w:rsidRPr="00B82295">
        <w:rPr>
          <w:color w:val="000000"/>
          <w:spacing w:val="-5"/>
          <w:sz w:val="22"/>
          <w:szCs w:val="22"/>
        </w:rPr>
        <w:t xml:space="preserve"> imobilul situat la adresa </w:t>
      </w:r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r w:rsidR="00703A09">
        <w:rPr>
          <w:rFonts w:eastAsia="Calibri"/>
          <w:b/>
          <w:bCs/>
          <w:color w:val="000000"/>
          <w:sz w:val="22"/>
          <w:szCs w:val="22"/>
          <w:lang w:eastAsia="ro-RO"/>
        </w:rPr>
        <w:t>Linistei</w:t>
      </w:r>
      <w:r w:rsidR="00703A09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nr.17,bl.92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depus documentaţia tehnico-economică pentru obiectivul de investiţii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"Reabilitare termică imobil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r w:rsidR="00703A09">
        <w:rPr>
          <w:rFonts w:eastAsia="Calibri"/>
          <w:b/>
          <w:bCs/>
          <w:color w:val="000000"/>
          <w:sz w:val="22"/>
          <w:szCs w:val="22"/>
          <w:lang w:eastAsia="ro-RO"/>
        </w:rPr>
        <w:t>Linistei</w:t>
      </w:r>
      <w:r w:rsidR="00703A0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nr.17,bl.92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r w:rsidR="00B55DC0" w:rsidRPr="00B82295">
        <w:rPr>
          <w:bCs/>
          <w:color w:val="000000"/>
          <w:sz w:val="22"/>
          <w:szCs w:val="22"/>
          <w:lang w:eastAsia="ro-RO"/>
        </w:rPr>
        <w:t>spre finanţare</w:t>
      </w:r>
      <w:r w:rsidR="001D05F4" w:rsidRPr="00B82295">
        <w:rPr>
          <w:bCs/>
          <w:color w:val="000000"/>
          <w:sz w:val="22"/>
          <w:szCs w:val="22"/>
          <w:lang w:eastAsia="ro-RO"/>
        </w:rPr>
        <w:t xml:space="preserve"> în cadrul </w:t>
      </w:r>
      <w:r w:rsidR="001D05F4" w:rsidRPr="00B82295">
        <w:rPr>
          <w:rFonts w:eastAsia="Calibri"/>
          <w:sz w:val="22"/>
          <w:szCs w:val="22"/>
          <w:lang w:eastAsia="ro-RO"/>
        </w:rPr>
        <w:t>Programului Operaţional Regional 2014-2020, Axa prioritară 3, Prioritatea de investiţii 3.1, Operaţiunea A - Clădiri Rezidenţiale</w:t>
      </w:r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D106D1">
        <w:rPr>
          <w:sz w:val="22"/>
          <w:szCs w:val="22"/>
          <w:lang w:val="ro-RO"/>
        </w:rPr>
        <w:t xml:space="preserve">onform adresei  ADR Vest </w:t>
      </w:r>
      <w:r w:rsidR="00876F31">
        <w:rPr>
          <w:color w:val="FF0000"/>
          <w:sz w:val="22"/>
          <w:szCs w:val="22"/>
          <w:lang w:val="ro-RO"/>
        </w:rPr>
        <w:t>nr.5761/15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înregistrat</w:t>
      </w:r>
      <w:r w:rsidR="00D106D1">
        <w:rPr>
          <w:sz w:val="22"/>
          <w:szCs w:val="22"/>
          <w:lang w:val="ro-RO"/>
        </w:rPr>
        <w:t>ă la Primăria Municipiului Timisoara cu nr</w:t>
      </w:r>
      <w:r w:rsidR="00876F31">
        <w:rPr>
          <w:color w:val="FF0000"/>
          <w:sz w:val="22"/>
          <w:szCs w:val="22"/>
          <w:lang w:val="ro-RO"/>
        </w:rPr>
        <w:t>.CDD2019-195/22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se solicită actualizarea estimarilor bugetare legate d</w:t>
      </w:r>
      <w:r w:rsidR="00D106D1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Urmare a solicitării de clarificări, este necesară modificarea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7C6B5B">
        <w:rPr>
          <w:rFonts w:eastAsia="Calibri"/>
          <w:bCs/>
          <w:color w:val="000000"/>
          <w:sz w:val="22"/>
          <w:szCs w:val="22"/>
          <w:lang w:val="ro-RO" w:eastAsia="ro-RO"/>
        </w:rPr>
        <w:t>nr. 346</w:t>
      </w:r>
      <w:r w:rsidR="00012574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 xml:space="preserve">"Reabilitare termică imobil, </w:t>
      </w:r>
      <w:r w:rsidR="00811A65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r w:rsidR="007C6B5B">
        <w:rPr>
          <w:rFonts w:eastAsia="Calibri"/>
          <w:b/>
          <w:bCs/>
          <w:color w:val="000000"/>
          <w:sz w:val="22"/>
          <w:szCs w:val="22"/>
          <w:lang w:eastAsia="ro-RO"/>
        </w:rPr>
        <w:t>Linistei</w:t>
      </w:r>
      <w:r w:rsidR="007C6B5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nr.17,bl.92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r w:rsidR="00FB5B38" w:rsidRPr="00B82295">
        <w:rPr>
          <w:bCs/>
          <w:color w:val="000000"/>
          <w:sz w:val="22"/>
          <w:szCs w:val="22"/>
          <w:lang w:eastAsia="ro-RO"/>
        </w:rPr>
        <w:t>modificat prin HCL nr.</w:t>
      </w:r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A7ADE">
        <w:rPr>
          <w:bCs/>
          <w:color w:val="000000"/>
          <w:sz w:val="22"/>
          <w:szCs w:val="22"/>
          <w:lang w:eastAsia="ro-RO"/>
        </w:rPr>
        <w:t>595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FB5B38" w:rsidRPr="00B82295">
        <w:rPr>
          <w:bCs/>
          <w:color w:val="000000"/>
          <w:sz w:val="22"/>
          <w:szCs w:val="22"/>
          <w:lang w:eastAsia="ro-RO"/>
        </w:rPr>
        <w:t>, astfel: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r w:rsidRPr="00B82295">
        <w:rPr>
          <w:bCs/>
          <w:color w:val="000000"/>
          <w:sz w:val="22"/>
          <w:szCs w:val="22"/>
          <w:lang w:val="ro-RO" w:eastAsia="ro-RO"/>
        </w:rPr>
        <w:t xml:space="preserve">înlocuirea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A7ADE">
        <w:rPr>
          <w:bCs/>
          <w:color w:val="000000"/>
          <w:sz w:val="22"/>
          <w:szCs w:val="22"/>
          <w:lang w:eastAsia="ro-RO"/>
        </w:rPr>
        <w:t>595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cu Anexa 1 care va cuprinde indicatorii </w:t>
      </w:r>
      <w:r w:rsidR="00687E81">
        <w:rPr>
          <w:bCs/>
          <w:color w:val="000000"/>
          <w:sz w:val="22"/>
          <w:szCs w:val="22"/>
          <w:lang w:eastAsia="ro-RO"/>
        </w:rPr>
        <w:t>valorici 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 xml:space="preserve">i </w:t>
      </w:r>
      <w:r w:rsidR="006A5539" w:rsidRPr="00B82295">
        <w:rPr>
          <w:bCs/>
          <w:color w:val="000000"/>
          <w:sz w:val="22"/>
          <w:szCs w:val="22"/>
          <w:lang w:eastAsia="ro-RO"/>
        </w:rPr>
        <w:t xml:space="preserve">în conformitate cu prevederile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înlocuirea Anexei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FA7ADE">
        <w:rPr>
          <w:rFonts w:eastAsia="Calibri"/>
          <w:bCs/>
          <w:color w:val="000000"/>
          <w:sz w:val="22"/>
          <w:szCs w:val="22"/>
          <w:lang w:val="ro-RO" w:eastAsia="ro-RO"/>
        </w:rPr>
        <w:t>nr. 346</w:t>
      </w:r>
      <w:r w:rsidR="00953650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 cu Anexa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r w:rsidR="00397A52">
        <w:rPr>
          <w:bCs/>
          <w:i/>
          <w:color w:val="000000"/>
          <w:sz w:val="22"/>
          <w:szCs w:val="22"/>
          <w:lang w:eastAsia="ro-RO"/>
        </w:rPr>
        <w:t>Descrierea 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>care va includ</w:t>
      </w:r>
      <w:r w:rsidR="00F2391D">
        <w:rPr>
          <w:bCs/>
          <w:color w:val="000000"/>
          <w:sz w:val="22"/>
          <w:szCs w:val="22"/>
          <w:lang w:eastAsia="ro-RO"/>
        </w:rPr>
        <w:t>e devizul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r w:rsidR="00F2391D">
        <w:rPr>
          <w:bCs/>
          <w:color w:val="000000"/>
          <w:sz w:val="22"/>
          <w:szCs w:val="22"/>
          <w:lang w:eastAsia="ro-RO"/>
        </w:rPr>
        <w:t>actualizat</w:t>
      </w:r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în conformitate cu prevederile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 xml:space="preserve">Schimbari preconizate 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 rezultate 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r w:rsidRPr="00B82295">
        <w:rPr>
          <w:sz w:val="22"/>
          <w:szCs w:val="22"/>
        </w:rPr>
        <w:t>Prin intermediul acestei operaţiuni de mai sus, vor fi sprijinite 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 specifice realizării de 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 pentru creşterea eficienţei energetice a clădirilor rezidenţiale.</w:t>
      </w:r>
    </w:p>
    <w:p w:rsidR="000D6FBA" w:rsidRPr="00B82295" w:rsidRDefault="000D6FBA" w:rsidP="000D6FBA">
      <w:pPr>
        <w:jc w:val="both"/>
        <w:rPr>
          <w:sz w:val="22"/>
          <w:szCs w:val="22"/>
        </w:rPr>
      </w:pPr>
      <w:r w:rsidRPr="00B82295">
        <w:rPr>
          <w:sz w:val="22"/>
          <w:szCs w:val="22"/>
        </w:rPr>
        <w:t xml:space="preserve">Indicatorii de proiect care fac obiectul monitorizării implementării </w:t>
      </w:r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 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 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 propuse prin proiect, sunt: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>- Scăderea consumului de energie finală în sectorul rezidenţial;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>- Scăderea consumului anual de energie primară (kWh/an);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- Scăderea consumului anual specific de energie pentru încălzire (kWh/m2/an);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- Scăderea anuală estimată a gazelor cu efect de seră  (echivalent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FA7ADE">
        <w:rPr>
          <w:bCs/>
          <w:color w:val="000000"/>
          <w:lang w:eastAsia="ro-RO"/>
        </w:rPr>
        <w:t>346</w:t>
      </w:r>
      <w:r w:rsidR="00CF5760">
        <w:rPr>
          <w:bCs/>
          <w:color w:val="000000"/>
          <w:lang w:eastAsia="ro-RO"/>
        </w:rPr>
        <w:t xml:space="preserve">/15.09.2017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811A65" w:rsidRPr="00B82295">
        <w:rPr>
          <w:rFonts w:ascii="Times New Roman" w:hAnsi="Times New Roman"/>
          <w:bCs/>
          <w:i/>
          <w:color w:val="000000"/>
          <w:lang w:eastAsia="ro-RO"/>
        </w:rPr>
        <w:t xml:space="preserve">str. </w:t>
      </w:r>
      <w:r w:rsidR="007C6B5B">
        <w:rPr>
          <w:b/>
          <w:bCs/>
          <w:color w:val="000000"/>
          <w:lang w:eastAsia="ro-RO"/>
        </w:rPr>
        <w:t xml:space="preserve">Linistei, nr.17,bl.92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687E81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CF5760" w:rsidRPr="00CF5760">
        <w:rPr>
          <w:bCs/>
          <w:color w:val="000000"/>
          <w:lang w:eastAsia="ro-RO"/>
        </w:rPr>
        <w:t xml:space="preserve"> </w:t>
      </w:r>
      <w:r w:rsidR="00FA7ADE">
        <w:rPr>
          <w:bCs/>
          <w:color w:val="000000"/>
          <w:lang w:eastAsia="ro-RO"/>
        </w:rPr>
        <w:t>595</w:t>
      </w:r>
      <w:r w:rsidR="00CF5760">
        <w:rPr>
          <w:bCs/>
          <w:color w:val="000000"/>
          <w:lang w:eastAsia="ro-RO"/>
        </w:rPr>
        <w:t>/16.11.2018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</w:t>
      </w:r>
      <w:r w:rsidR="00E66D7B">
        <w:rPr>
          <w:b/>
          <w:sz w:val="22"/>
          <w:szCs w:val="22"/>
        </w:rPr>
        <w:t xml:space="preserve">    </w:t>
      </w:r>
      <w:r w:rsidRPr="00B82295">
        <w:rPr>
          <w:b/>
          <w:sz w:val="22"/>
          <w:szCs w:val="22"/>
        </w:rPr>
        <w:t>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E66D7B">
        <w:rPr>
          <w:b/>
          <w:sz w:val="22"/>
          <w:szCs w:val="22"/>
        </w:rPr>
        <w:t>DIRECTOR DIRECTIA DEZVOLTARE</w:t>
      </w:r>
    </w:p>
    <w:p w:rsidR="009461F1" w:rsidRPr="00B82295" w:rsidRDefault="00E66D7B" w:rsidP="009461F1">
      <w:pPr>
        <w:ind w:firstLine="360"/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  </w:t>
      </w:r>
      <w:r w:rsidR="009461F1" w:rsidRPr="00B82295">
        <w:rPr>
          <w:b/>
          <w:sz w:val="22"/>
          <w:szCs w:val="22"/>
        </w:rPr>
        <w:t>NICOLAE ROBU</w:t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="009461F1" w:rsidRPr="00B82295">
        <w:rPr>
          <w:b/>
          <w:sz w:val="22"/>
          <w:szCs w:val="22"/>
        </w:rPr>
        <w:t>MAGDALENA NICOAR</w:t>
      </w:r>
      <w:r w:rsidR="009461F1"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0D6FBA"/>
    <w:rsid w:val="00006B3F"/>
    <w:rsid w:val="00012574"/>
    <w:rsid w:val="00035D48"/>
    <w:rsid w:val="000627EA"/>
    <w:rsid w:val="00067DD5"/>
    <w:rsid w:val="00076606"/>
    <w:rsid w:val="000C526C"/>
    <w:rsid w:val="000D6357"/>
    <w:rsid w:val="000D6FBA"/>
    <w:rsid w:val="0013067D"/>
    <w:rsid w:val="0017611E"/>
    <w:rsid w:val="001D05F4"/>
    <w:rsid w:val="001E1087"/>
    <w:rsid w:val="00200FC1"/>
    <w:rsid w:val="002327CF"/>
    <w:rsid w:val="00253C77"/>
    <w:rsid w:val="002617FF"/>
    <w:rsid w:val="002661D4"/>
    <w:rsid w:val="0027198C"/>
    <w:rsid w:val="00276192"/>
    <w:rsid w:val="002934DA"/>
    <w:rsid w:val="002F4F0A"/>
    <w:rsid w:val="002F64F5"/>
    <w:rsid w:val="00383359"/>
    <w:rsid w:val="00396A62"/>
    <w:rsid w:val="00397A52"/>
    <w:rsid w:val="003B3838"/>
    <w:rsid w:val="003C5BD0"/>
    <w:rsid w:val="003D3416"/>
    <w:rsid w:val="003F4B71"/>
    <w:rsid w:val="00444964"/>
    <w:rsid w:val="004450EB"/>
    <w:rsid w:val="004F5D0D"/>
    <w:rsid w:val="005100F8"/>
    <w:rsid w:val="005126EC"/>
    <w:rsid w:val="0054385C"/>
    <w:rsid w:val="00643415"/>
    <w:rsid w:val="006874C8"/>
    <w:rsid w:val="00687E81"/>
    <w:rsid w:val="006A5539"/>
    <w:rsid w:val="00703A09"/>
    <w:rsid w:val="0071599D"/>
    <w:rsid w:val="007C6B5B"/>
    <w:rsid w:val="007C7316"/>
    <w:rsid w:val="00811A65"/>
    <w:rsid w:val="00861DB7"/>
    <w:rsid w:val="00876F31"/>
    <w:rsid w:val="008D3C90"/>
    <w:rsid w:val="009461F1"/>
    <w:rsid w:val="00953650"/>
    <w:rsid w:val="009A47F7"/>
    <w:rsid w:val="009A4984"/>
    <w:rsid w:val="009B41D4"/>
    <w:rsid w:val="00A27C9E"/>
    <w:rsid w:val="00A840AC"/>
    <w:rsid w:val="00A92D6F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559"/>
    <w:rsid w:val="00C23A5C"/>
    <w:rsid w:val="00CA2C03"/>
    <w:rsid w:val="00CF51D7"/>
    <w:rsid w:val="00CF5760"/>
    <w:rsid w:val="00D106D1"/>
    <w:rsid w:val="00D1131B"/>
    <w:rsid w:val="00D32A49"/>
    <w:rsid w:val="00DB1927"/>
    <w:rsid w:val="00E1115B"/>
    <w:rsid w:val="00E15B03"/>
    <w:rsid w:val="00E31A4E"/>
    <w:rsid w:val="00E322B4"/>
    <w:rsid w:val="00E3534B"/>
    <w:rsid w:val="00E45F1B"/>
    <w:rsid w:val="00E46257"/>
    <w:rsid w:val="00E66D7B"/>
    <w:rsid w:val="00E86A01"/>
    <w:rsid w:val="00E943DE"/>
    <w:rsid w:val="00F2391D"/>
    <w:rsid w:val="00FA21E2"/>
    <w:rsid w:val="00FA7ADE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14</cp:revision>
  <cp:lastPrinted>2019-03-25T08:23:00Z</cp:lastPrinted>
  <dcterms:created xsi:type="dcterms:W3CDTF">2019-03-21T11:06:00Z</dcterms:created>
  <dcterms:modified xsi:type="dcterms:W3CDTF">2019-04-01T06:14:00Z</dcterms:modified>
</cp:coreProperties>
</file>